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left"/>
        <w:rPr>
          <w:rFonts w:ascii="方正黑体简体" w:eastAsia="方正黑体简体"/>
          <w:spacing w:val="-2"/>
          <w:sz w:val="32"/>
          <w:szCs w:val="32"/>
        </w:rPr>
      </w:pPr>
      <w:bookmarkStart w:id="2" w:name="_GoBack"/>
      <w:bookmarkEnd w:id="2"/>
    </w:p>
    <w:p>
      <w:pPr>
        <w:spacing w:line="594" w:lineRule="exact"/>
        <w:jc w:val="left"/>
        <w:rPr>
          <w:rFonts w:ascii="方正黑体简体" w:eastAsia="方正黑体简体"/>
          <w:spacing w:val="-2"/>
          <w:sz w:val="32"/>
          <w:szCs w:val="32"/>
        </w:rPr>
      </w:pPr>
    </w:p>
    <w:p>
      <w:pPr>
        <w:jc w:val="center"/>
        <w:rPr>
          <w:rFonts w:eastAsia="华文中宋"/>
          <w:b/>
          <w:sz w:val="48"/>
          <w:szCs w:val="48"/>
        </w:rPr>
      </w:pPr>
      <w:r>
        <w:rPr>
          <w:rFonts w:eastAsia="华文中宋"/>
          <w:b/>
          <w:sz w:val="48"/>
          <w:szCs w:val="48"/>
        </w:rPr>
        <w:t>中</w:t>
      </w:r>
      <w:r>
        <w:rPr>
          <w:rFonts w:hint="eastAsia" w:eastAsia="华文中宋"/>
          <w:b/>
          <w:sz w:val="48"/>
          <w:szCs w:val="48"/>
        </w:rPr>
        <w:t>国出入境检验检疫协会团体标准</w:t>
      </w:r>
    </w:p>
    <w:p>
      <w:pPr>
        <w:jc w:val="center"/>
        <w:rPr>
          <w:rFonts w:eastAsia="华文中宋"/>
          <w:b/>
          <w:sz w:val="48"/>
          <w:szCs w:val="48"/>
        </w:rPr>
      </w:pPr>
      <w:bookmarkStart w:id="0" w:name="StdName"/>
      <w:bookmarkStart w:id="1" w:name="_Hlk13575267"/>
      <w:r>
        <w:rPr>
          <w:rFonts w:eastAsia="华文中宋"/>
          <w:b/>
          <w:sz w:val="48"/>
          <w:szCs w:val="48"/>
        </w:rPr>
        <w:fldChar w:fldCharType="begin">
          <w:ffData>
            <w:name w:val="StdName"/>
            <w:enabled/>
            <w:calcOnExit w:val="0"/>
            <w:textInput>
              <w:default w:val="汽车用油气管与非金属管路标准接头的室温拉拔试验方法"/>
            </w:textInput>
          </w:ffData>
        </w:fldChar>
      </w:r>
      <w:r>
        <w:rPr>
          <w:rFonts w:eastAsia="华文中宋"/>
          <w:b/>
          <w:sz w:val="48"/>
          <w:szCs w:val="48"/>
        </w:rPr>
        <w:instrText xml:space="preserve"> FORMTEXT </w:instrText>
      </w:r>
      <w:r>
        <w:rPr>
          <w:rFonts w:eastAsia="华文中宋"/>
          <w:b/>
          <w:sz w:val="48"/>
          <w:szCs w:val="48"/>
        </w:rPr>
        <w:fldChar w:fldCharType="separate"/>
      </w:r>
      <w:r>
        <w:rPr>
          <w:rFonts w:hint="eastAsia" w:eastAsia="华文中宋"/>
          <w:b/>
          <w:sz w:val="48"/>
          <w:szCs w:val="48"/>
        </w:rPr>
        <w:t>汽车用油气管与非金属管路标准接头的室温拉拔试验方法</w:t>
      </w:r>
      <w:r>
        <w:rPr>
          <w:rFonts w:eastAsia="华文中宋"/>
          <w:b/>
          <w:sz w:val="48"/>
          <w:szCs w:val="48"/>
        </w:rPr>
        <w:fldChar w:fldCharType="end"/>
      </w:r>
      <w:bookmarkEnd w:id="0"/>
    </w:p>
    <w:bookmarkEnd w:id="1"/>
    <w:p>
      <w:pPr>
        <w:jc w:val="center"/>
        <w:rPr>
          <w:rFonts w:eastAsia="华文中宋"/>
          <w:b/>
          <w:sz w:val="36"/>
          <w:szCs w:val="36"/>
        </w:rPr>
      </w:pPr>
    </w:p>
    <w:p>
      <w:pPr>
        <w:jc w:val="center"/>
        <w:rPr>
          <w:rFonts w:eastAsia="华文中宋"/>
          <w:b/>
          <w:sz w:val="36"/>
          <w:szCs w:val="36"/>
        </w:rPr>
      </w:pPr>
      <w:r>
        <w:rPr>
          <w:rFonts w:hint="eastAsia" w:eastAsia="华文中宋"/>
          <w:b/>
          <w:sz w:val="36"/>
          <w:szCs w:val="36"/>
        </w:rPr>
        <w:t>（征求意见</w:t>
      </w:r>
      <w:r>
        <w:rPr>
          <w:rFonts w:eastAsia="华文中宋"/>
          <w:b/>
          <w:sz w:val="36"/>
          <w:szCs w:val="36"/>
        </w:rPr>
        <w:t>稿）</w:t>
      </w:r>
    </w:p>
    <w:p>
      <w:pPr>
        <w:jc w:val="center"/>
        <w:rPr>
          <w:rFonts w:eastAsia="华文中宋"/>
          <w:b/>
          <w:sz w:val="72"/>
          <w:szCs w:val="72"/>
        </w:rPr>
      </w:pPr>
    </w:p>
    <w:p>
      <w:pPr>
        <w:jc w:val="center"/>
        <w:rPr>
          <w:rFonts w:eastAsia="华文中宋"/>
          <w:b/>
          <w:sz w:val="72"/>
          <w:szCs w:val="72"/>
        </w:rPr>
      </w:pPr>
    </w:p>
    <w:p>
      <w:pPr>
        <w:jc w:val="center"/>
        <w:rPr>
          <w:b/>
          <w:sz w:val="72"/>
          <w:szCs w:val="72"/>
        </w:rPr>
      </w:pPr>
      <w:r>
        <w:rPr>
          <w:b/>
          <w:sz w:val="72"/>
          <w:szCs w:val="72"/>
        </w:rPr>
        <w:t>编制说明</w:t>
      </w:r>
    </w:p>
    <w:p>
      <w:pPr>
        <w:jc w:val="center"/>
        <w:rPr>
          <w:sz w:val="28"/>
          <w:szCs w:val="28"/>
        </w:rPr>
      </w:pPr>
    </w:p>
    <w:p>
      <w:pPr>
        <w:jc w:val="center"/>
        <w:rPr>
          <w:sz w:val="28"/>
          <w:szCs w:val="28"/>
        </w:rPr>
      </w:pPr>
    </w:p>
    <w:p>
      <w:pPr>
        <w:jc w:val="center"/>
        <w:rPr>
          <w:rFonts w:eastAsia="黑体"/>
          <w:sz w:val="32"/>
          <w:szCs w:val="32"/>
        </w:rPr>
      </w:pPr>
    </w:p>
    <w:p>
      <w:pPr>
        <w:jc w:val="center"/>
        <w:rPr>
          <w:rFonts w:eastAsia="华文中宋"/>
          <w:b/>
          <w:sz w:val="48"/>
          <w:szCs w:val="48"/>
        </w:rPr>
      </w:pPr>
    </w:p>
    <w:p>
      <w:pPr>
        <w:jc w:val="center"/>
        <w:rPr>
          <w:rFonts w:eastAsia="华文中宋"/>
          <w:b/>
          <w:sz w:val="48"/>
          <w:szCs w:val="48"/>
        </w:rPr>
      </w:pPr>
    </w:p>
    <w:p>
      <w:pPr>
        <w:jc w:val="center"/>
        <w:rPr>
          <w:rFonts w:eastAsia="华文中宋"/>
          <w:b/>
          <w:sz w:val="48"/>
          <w:szCs w:val="48"/>
        </w:rPr>
      </w:pPr>
    </w:p>
    <w:p>
      <w:pPr>
        <w:jc w:val="center"/>
        <w:rPr>
          <w:rFonts w:eastAsia="华文中宋"/>
          <w:b/>
          <w:sz w:val="48"/>
          <w:szCs w:val="48"/>
        </w:rPr>
      </w:pPr>
      <w:r>
        <w:rPr>
          <w:rFonts w:eastAsia="华文中宋"/>
          <w:b/>
          <w:sz w:val="48"/>
          <w:szCs w:val="48"/>
        </w:rPr>
        <w:t>标准编制组</w:t>
      </w:r>
    </w:p>
    <w:p>
      <w:pPr>
        <w:jc w:val="center"/>
        <w:rPr>
          <w:rFonts w:eastAsia="华文中宋"/>
          <w:b/>
          <w:sz w:val="48"/>
          <w:szCs w:val="48"/>
        </w:rPr>
      </w:pPr>
      <w:r>
        <w:rPr>
          <w:rFonts w:eastAsia="华文中宋"/>
          <w:b/>
          <w:sz w:val="48"/>
          <w:szCs w:val="48"/>
        </w:rPr>
        <w:t>20</w:t>
      </w:r>
      <w:r>
        <w:rPr>
          <w:rFonts w:hint="eastAsia" w:eastAsia="华文中宋"/>
          <w:b/>
          <w:sz w:val="48"/>
          <w:szCs w:val="48"/>
        </w:rPr>
        <w:t>23</w:t>
      </w:r>
      <w:r>
        <w:rPr>
          <w:rFonts w:eastAsia="华文中宋"/>
          <w:b/>
          <w:sz w:val="48"/>
          <w:szCs w:val="48"/>
        </w:rPr>
        <w:t>-0</w:t>
      </w:r>
      <w:r>
        <w:rPr>
          <w:rFonts w:hint="eastAsia" w:eastAsia="华文中宋"/>
          <w:b/>
          <w:sz w:val="48"/>
          <w:szCs w:val="48"/>
        </w:rPr>
        <w:t>6</w:t>
      </w:r>
    </w:p>
    <w:p/>
    <w:p/>
    <w:p>
      <w:pPr>
        <w:pStyle w:val="13"/>
        <w:spacing w:line="360" w:lineRule="auto"/>
      </w:pPr>
      <w:r>
        <w:rPr>
          <w:rFonts w:hint="eastAsia"/>
        </w:rPr>
        <w:t>《汽车用油气管与非金属管路标准接头的室温拉拔试验方法》团体标准编制说明</w:t>
      </w:r>
    </w:p>
    <w:p>
      <w:pPr>
        <w:pStyle w:val="14"/>
        <w:numPr>
          <w:ilvl w:val="0"/>
          <w:numId w:val="2"/>
        </w:numPr>
        <w:spacing w:line="360" w:lineRule="auto"/>
        <w:ind w:firstLineChars="0"/>
        <w:rPr>
          <w:b/>
          <w:bCs/>
          <w:sz w:val="28"/>
          <w:szCs w:val="28"/>
        </w:rPr>
      </w:pPr>
      <w:r>
        <w:rPr>
          <w:rFonts w:hint="eastAsia"/>
          <w:b/>
          <w:bCs/>
          <w:sz w:val="28"/>
          <w:szCs w:val="28"/>
        </w:rPr>
        <w:t>工作简况</w:t>
      </w:r>
    </w:p>
    <w:p>
      <w:pPr>
        <w:pStyle w:val="14"/>
        <w:numPr>
          <w:ilvl w:val="0"/>
          <w:numId w:val="3"/>
        </w:numPr>
        <w:spacing w:line="360" w:lineRule="auto"/>
        <w:ind w:firstLineChars="0"/>
        <w:rPr>
          <w:b/>
          <w:bCs/>
          <w:sz w:val="24"/>
          <w:szCs w:val="24"/>
        </w:rPr>
      </w:pPr>
      <w:r>
        <w:rPr>
          <w:rFonts w:hint="eastAsia"/>
          <w:b/>
          <w:bCs/>
          <w:sz w:val="24"/>
          <w:szCs w:val="24"/>
        </w:rPr>
        <w:t>任务来源：</w:t>
      </w:r>
    </w:p>
    <w:p>
      <w:pPr>
        <w:pStyle w:val="14"/>
        <w:spacing w:line="360" w:lineRule="auto"/>
        <w:ind w:firstLine="480"/>
        <w:rPr>
          <w:bCs/>
          <w:sz w:val="24"/>
          <w:szCs w:val="24"/>
        </w:rPr>
      </w:pPr>
      <w:r>
        <w:rPr>
          <w:rFonts w:hint="eastAsia"/>
          <w:bCs/>
          <w:sz w:val="24"/>
          <w:szCs w:val="24"/>
        </w:rPr>
        <w:t>本项目是根据中国出入境检验检疫协会“中检协【2021】34号”文件“关于批准《电器产品安全检测专业技术人员水平等级标准》等12项团体标准立项的通知”，正式将项目名称《汽车用油气管与非金属管路标准接头的室温拉拔试验方法》列为国家团体标准进行起草制定，项目立项号：P/CIQA-63-2021，项目负责起草单位：中国检验认证集团湖北有限公司，计划应完成时间2022年12月，已办理计划项目延期申请。</w:t>
      </w:r>
    </w:p>
    <w:p>
      <w:pPr>
        <w:pStyle w:val="14"/>
        <w:spacing w:line="360" w:lineRule="auto"/>
        <w:ind w:firstLine="480"/>
        <w:rPr>
          <w:bCs/>
          <w:sz w:val="24"/>
          <w:szCs w:val="24"/>
        </w:rPr>
      </w:pPr>
    </w:p>
    <w:p>
      <w:pPr>
        <w:pStyle w:val="14"/>
        <w:numPr>
          <w:ilvl w:val="0"/>
          <w:numId w:val="3"/>
        </w:numPr>
        <w:spacing w:line="360" w:lineRule="auto"/>
        <w:ind w:firstLineChars="0"/>
        <w:rPr>
          <w:b/>
          <w:bCs/>
          <w:sz w:val="24"/>
          <w:szCs w:val="24"/>
        </w:rPr>
      </w:pPr>
      <w:r>
        <w:rPr>
          <w:rFonts w:hint="eastAsia"/>
          <w:b/>
          <w:bCs/>
          <w:sz w:val="24"/>
          <w:szCs w:val="24"/>
        </w:rPr>
        <w:t>主要工作过程</w:t>
      </w:r>
    </w:p>
    <w:p>
      <w:pPr>
        <w:pStyle w:val="14"/>
        <w:spacing w:line="360" w:lineRule="auto"/>
        <w:ind w:firstLine="480"/>
        <w:rPr>
          <w:sz w:val="24"/>
          <w:szCs w:val="24"/>
        </w:rPr>
      </w:pPr>
      <w:r>
        <w:rPr>
          <w:rFonts w:hint="eastAsia"/>
          <w:bCs/>
          <w:sz w:val="24"/>
          <w:szCs w:val="24"/>
        </w:rPr>
        <w:t>本标准在编制过程中严格按照</w:t>
      </w:r>
      <w:r>
        <w:rPr>
          <w:rFonts w:hint="eastAsia" w:hAnsi="宋体"/>
          <w:sz w:val="24"/>
          <w:szCs w:val="24"/>
        </w:rPr>
        <w:t>GB/T1.1-2020</w:t>
      </w:r>
      <w:r>
        <w:rPr>
          <w:rFonts w:hint="eastAsia"/>
          <w:bCs/>
          <w:sz w:val="24"/>
          <w:szCs w:val="24"/>
        </w:rPr>
        <w:t>《</w:t>
      </w:r>
      <w:r>
        <w:rPr>
          <w:bCs/>
          <w:sz w:val="24"/>
          <w:szCs w:val="24"/>
        </w:rPr>
        <w:t>标准化工作导则　第1部分：标准化文件的结构和起草规则</w:t>
      </w:r>
      <w:r>
        <w:rPr>
          <w:rFonts w:hint="eastAsia"/>
          <w:bCs/>
          <w:sz w:val="24"/>
          <w:szCs w:val="24"/>
        </w:rPr>
        <w:t>》中</w:t>
      </w:r>
      <w:r>
        <w:rPr>
          <w:rFonts w:hint="eastAsia" w:hAnsi="宋体"/>
          <w:sz w:val="24"/>
          <w:szCs w:val="24"/>
        </w:rPr>
        <w:t>的要求和规定而编写，力求符合规范化与标准化的要求。</w:t>
      </w:r>
    </w:p>
    <w:p>
      <w:pPr>
        <w:pStyle w:val="14"/>
        <w:spacing w:line="360" w:lineRule="auto"/>
        <w:ind w:firstLine="480"/>
        <w:rPr>
          <w:bCs/>
          <w:sz w:val="24"/>
          <w:szCs w:val="24"/>
        </w:rPr>
      </w:pPr>
      <w:r>
        <w:rPr>
          <w:rFonts w:hint="eastAsia"/>
          <w:bCs/>
          <w:sz w:val="24"/>
          <w:szCs w:val="24"/>
        </w:rPr>
        <w:t>2.1标准归口单位：中国出入境检验检疫协会；</w:t>
      </w:r>
    </w:p>
    <w:p>
      <w:pPr>
        <w:pStyle w:val="14"/>
        <w:spacing w:line="360" w:lineRule="auto"/>
        <w:ind w:firstLine="480"/>
        <w:rPr>
          <w:sz w:val="24"/>
          <w:szCs w:val="24"/>
        </w:rPr>
      </w:pPr>
      <w:r>
        <w:rPr>
          <w:rFonts w:hint="eastAsia"/>
          <w:bCs/>
          <w:sz w:val="24"/>
          <w:szCs w:val="24"/>
        </w:rPr>
        <w:t>2.2项目负责起草单位：中国检验认证集团湖北有限公司</w:t>
      </w:r>
      <w:r>
        <w:rPr>
          <w:rFonts w:hint="eastAsia"/>
          <w:sz w:val="24"/>
          <w:szCs w:val="24"/>
        </w:rPr>
        <w:t>；</w:t>
      </w:r>
    </w:p>
    <w:p>
      <w:pPr>
        <w:pStyle w:val="14"/>
        <w:spacing w:line="360" w:lineRule="auto"/>
        <w:ind w:firstLine="480"/>
        <w:rPr>
          <w:bCs/>
          <w:sz w:val="24"/>
          <w:szCs w:val="24"/>
        </w:rPr>
      </w:pPr>
      <w:r>
        <w:rPr>
          <w:rFonts w:hint="eastAsia"/>
          <w:bCs/>
          <w:sz w:val="24"/>
          <w:szCs w:val="24"/>
        </w:rPr>
        <w:t>2.3项目主要参与起草单位为：</w:t>
      </w:r>
      <w:r>
        <w:rPr>
          <w:rFonts w:hint="eastAsia" w:hAnsi="宋体"/>
          <w:sz w:val="24"/>
          <w:szCs w:val="24"/>
        </w:rPr>
        <w:t>武汉品荐检测科技有限公司、湖北中检检测有限公司、武汉武测检测技术有限公司、武汉海关技术中心、合肥工业大学、武汉产品质量监督检验所、武汉汽车车身附件研究所有限公司、康明斯新能源动力上海有限公司。</w:t>
      </w:r>
    </w:p>
    <w:p>
      <w:pPr>
        <w:pStyle w:val="14"/>
        <w:spacing w:line="360" w:lineRule="auto"/>
        <w:ind w:firstLine="480"/>
        <w:rPr>
          <w:rFonts w:hAnsi="宋体"/>
          <w:sz w:val="24"/>
          <w:szCs w:val="24"/>
        </w:rPr>
      </w:pPr>
      <w:r>
        <w:rPr>
          <w:rFonts w:hint="eastAsia"/>
          <w:sz w:val="24"/>
          <w:szCs w:val="24"/>
        </w:rPr>
        <w:t>2.4 本标准起草工作小组主要成员有</w:t>
      </w:r>
      <w:r>
        <w:rPr>
          <w:rFonts w:hint="eastAsia" w:hAnsi="宋体"/>
          <w:sz w:val="24"/>
          <w:szCs w:val="24"/>
        </w:rPr>
        <w:t>：李智、郭鑫、李力、曾蕾、陈魏、黎咏清、叶成、罗鑫、李佳森、刘俊、李欢欢、郭敏娜、刘蒙、高敏、胡德聪。</w:t>
      </w:r>
    </w:p>
    <w:p>
      <w:pPr>
        <w:pStyle w:val="14"/>
        <w:spacing w:line="360" w:lineRule="auto"/>
        <w:ind w:firstLine="480"/>
        <w:rPr>
          <w:rFonts w:ascii="宋体" w:hAnsi="宋体" w:cs="宋体"/>
          <w:color w:val="000000"/>
          <w:kern w:val="0"/>
          <w:sz w:val="24"/>
          <w:szCs w:val="24"/>
        </w:rPr>
      </w:pPr>
      <w:r>
        <w:rPr>
          <w:rFonts w:hint="eastAsia"/>
          <w:sz w:val="24"/>
          <w:szCs w:val="24"/>
        </w:rPr>
        <w:t>2.5 本标准主要工作过程：</w:t>
      </w:r>
    </w:p>
    <w:p>
      <w:pPr>
        <w:pStyle w:val="14"/>
        <w:spacing w:line="360" w:lineRule="auto"/>
        <w:ind w:firstLine="480"/>
        <w:rPr>
          <w:sz w:val="24"/>
          <w:szCs w:val="24"/>
        </w:rPr>
      </w:pPr>
      <w:r>
        <w:rPr>
          <w:rFonts w:hint="eastAsia"/>
          <w:sz w:val="24"/>
          <w:szCs w:val="24"/>
        </w:rPr>
        <w:t>2020年12月25日，</w:t>
      </w:r>
      <w:r>
        <w:rPr>
          <w:rFonts w:hint="eastAsia"/>
          <w:bCs/>
          <w:sz w:val="24"/>
          <w:szCs w:val="24"/>
        </w:rPr>
        <w:t>项目负责</w:t>
      </w:r>
      <w:r>
        <w:rPr>
          <w:rFonts w:hint="eastAsia"/>
          <w:sz w:val="24"/>
          <w:szCs w:val="24"/>
        </w:rPr>
        <w:t>起草单位提交2021年中国出入境检验检疫协会团体标准立项提案申请书；</w:t>
      </w:r>
    </w:p>
    <w:p>
      <w:pPr>
        <w:pStyle w:val="14"/>
        <w:spacing w:line="360" w:lineRule="auto"/>
        <w:ind w:firstLine="480"/>
        <w:rPr>
          <w:sz w:val="24"/>
          <w:szCs w:val="24"/>
        </w:rPr>
      </w:pPr>
      <w:r>
        <w:rPr>
          <w:rFonts w:hint="eastAsia"/>
          <w:sz w:val="24"/>
          <w:szCs w:val="24"/>
        </w:rPr>
        <w:t>2021年04月21日，中国出入境检验检疫协会发文批准的团体标准P/CIQA-63-2021《汽车用油气管与非金属管路标准接头的室温拉拔试验方法》立项通知进行起草制定。</w:t>
      </w:r>
    </w:p>
    <w:p>
      <w:pPr>
        <w:pStyle w:val="14"/>
        <w:spacing w:line="360" w:lineRule="auto"/>
        <w:ind w:firstLine="480"/>
        <w:rPr>
          <w:sz w:val="24"/>
          <w:szCs w:val="24"/>
        </w:rPr>
      </w:pPr>
      <w:r>
        <w:rPr>
          <w:rFonts w:hint="eastAsia"/>
          <w:sz w:val="24"/>
          <w:szCs w:val="24"/>
        </w:rPr>
        <w:t>2021年04月23日，项目牵头单位中国检验认证集团湖北有限公司开展工作，组织召开标准起草工作会议，并成立标准起草项目工作小组；</w:t>
      </w:r>
    </w:p>
    <w:p>
      <w:pPr>
        <w:pStyle w:val="14"/>
        <w:spacing w:line="360" w:lineRule="auto"/>
        <w:ind w:firstLine="480"/>
        <w:rPr>
          <w:sz w:val="24"/>
          <w:szCs w:val="24"/>
        </w:rPr>
      </w:pPr>
      <w:r>
        <w:rPr>
          <w:rFonts w:hint="eastAsia"/>
          <w:sz w:val="24"/>
          <w:szCs w:val="24"/>
        </w:rPr>
        <w:t>2021年05月-10月，对汽车用油气管与非金属管路标准接头产品总成的现状与发展情况进行全面调研，同时广泛收集和检索了国内外相关标准方法的技术资料，并进行了大量的研究分析、资料查新工作等相关材料的核查。</w:t>
      </w:r>
    </w:p>
    <w:p>
      <w:pPr>
        <w:pStyle w:val="14"/>
        <w:spacing w:line="360" w:lineRule="auto"/>
        <w:ind w:firstLine="480"/>
        <w:rPr>
          <w:sz w:val="24"/>
          <w:szCs w:val="24"/>
        </w:rPr>
      </w:pPr>
      <w:r>
        <w:rPr>
          <w:rFonts w:hint="eastAsia"/>
          <w:sz w:val="24"/>
          <w:szCs w:val="24"/>
        </w:rPr>
        <w:t>2021年10月-12月，制定工作计划，确定工作方案，并对各阶段的任务进行分配，确保按时按质完成标准制定任务。</w:t>
      </w:r>
    </w:p>
    <w:p>
      <w:pPr>
        <w:pStyle w:val="14"/>
        <w:spacing w:line="360" w:lineRule="auto"/>
        <w:ind w:firstLine="480"/>
        <w:rPr>
          <w:sz w:val="24"/>
          <w:szCs w:val="24"/>
        </w:rPr>
      </w:pPr>
      <w:r>
        <w:rPr>
          <w:rFonts w:hint="eastAsia"/>
          <w:sz w:val="24"/>
          <w:szCs w:val="24"/>
        </w:rPr>
        <w:t>2022年01月-04月， 确定试验用样品的收集、采购和相关实验准备工作。安排3家实验室进行试验验证工作。</w:t>
      </w:r>
    </w:p>
    <w:p>
      <w:pPr>
        <w:pStyle w:val="14"/>
        <w:spacing w:line="360" w:lineRule="auto"/>
        <w:ind w:firstLine="480"/>
        <w:rPr>
          <w:sz w:val="24"/>
          <w:szCs w:val="24"/>
        </w:rPr>
      </w:pPr>
      <w:r>
        <w:rPr>
          <w:rFonts w:hint="eastAsia"/>
          <w:sz w:val="24"/>
          <w:szCs w:val="24"/>
        </w:rPr>
        <w:t>2022年05月-10月，编写标准草案初稿，对主要技术内容进行认真的讨论和修改。</w:t>
      </w:r>
    </w:p>
    <w:p>
      <w:pPr>
        <w:pStyle w:val="14"/>
        <w:spacing w:line="360" w:lineRule="auto"/>
        <w:ind w:firstLine="480"/>
        <w:rPr>
          <w:sz w:val="24"/>
          <w:szCs w:val="24"/>
        </w:rPr>
      </w:pPr>
      <w:r>
        <w:rPr>
          <w:rFonts w:hint="eastAsia"/>
          <w:sz w:val="24"/>
          <w:szCs w:val="24"/>
        </w:rPr>
        <w:t>2022年01月-2023年03月，开展试验验证工作，同外部单位实验室协作试验验证和结果的统计。</w:t>
      </w:r>
    </w:p>
    <w:p>
      <w:pPr>
        <w:pStyle w:val="14"/>
        <w:spacing w:line="360" w:lineRule="auto"/>
        <w:ind w:firstLine="480"/>
        <w:rPr>
          <w:sz w:val="24"/>
          <w:szCs w:val="24"/>
        </w:rPr>
      </w:pPr>
      <w:r>
        <w:rPr>
          <w:rFonts w:hint="eastAsia"/>
          <w:sz w:val="24"/>
          <w:szCs w:val="24"/>
        </w:rPr>
        <w:t>2023年03月-05月，对参与本标准项目起草相关单位以及其他单位相关领域专家进行征求意见，并对标准草案逐字逐句讨论修改。以及编制说明编写。</w:t>
      </w:r>
    </w:p>
    <w:p>
      <w:pPr>
        <w:pStyle w:val="14"/>
        <w:spacing w:line="360" w:lineRule="auto"/>
        <w:ind w:firstLine="480"/>
        <w:rPr>
          <w:sz w:val="24"/>
          <w:szCs w:val="24"/>
        </w:rPr>
      </w:pPr>
      <w:r>
        <w:rPr>
          <w:rFonts w:hint="eastAsia"/>
          <w:sz w:val="24"/>
          <w:szCs w:val="24"/>
        </w:rPr>
        <w:t>2023年06月，征求意见并修改后的最终稿作为最后标准征求意见稿上报中国出入境检验检疫协会技术委员会秘书处。</w:t>
      </w:r>
    </w:p>
    <w:p>
      <w:pPr>
        <w:pStyle w:val="14"/>
        <w:spacing w:line="360" w:lineRule="auto"/>
        <w:ind w:firstLine="480"/>
        <w:rPr>
          <w:sz w:val="24"/>
          <w:szCs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制定本标准背景</w:t>
      </w:r>
    </w:p>
    <w:p>
      <w:pPr>
        <w:spacing w:line="360" w:lineRule="auto"/>
        <w:ind w:firstLine="480" w:firstLineChars="200"/>
        <w:rPr>
          <w:bCs/>
          <w:color w:val="000000"/>
          <w:sz w:val="24"/>
        </w:rPr>
      </w:pPr>
      <w:r>
        <w:rPr>
          <w:rFonts w:hint="eastAsia"/>
          <w:bCs/>
          <w:sz w:val="24"/>
        </w:rPr>
        <w:t>汽车通常是由发动机、底盘、车身和电气设备四大部分组成，其中汽车发动机和底盘中使用了大量的油路管件、水路管件、气路管件等管路零部件，而</w:t>
      </w:r>
      <w:r>
        <w:rPr>
          <w:rFonts w:hint="eastAsia"/>
          <w:bCs/>
          <w:color w:val="000000"/>
          <w:sz w:val="24"/>
        </w:rPr>
        <w:t>汽车管路零部件是汽车动力系统中重要的安全件，它的质量好坏直接影响汽车的安全性能，一旦出现问题将会严重影响汽车的正常运行，可能造成重大危险，关系到汽车驾乘人员的生命财产安全。</w:t>
      </w:r>
    </w:p>
    <w:p>
      <w:pPr>
        <w:spacing w:line="360" w:lineRule="auto"/>
        <w:ind w:firstLine="480" w:firstLineChars="200"/>
        <w:rPr>
          <w:bCs/>
          <w:color w:val="000000"/>
          <w:sz w:val="24"/>
        </w:rPr>
      </w:pPr>
    </w:p>
    <w:p>
      <w:pPr>
        <w:spacing w:line="360" w:lineRule="auto"/>
        <w:ind w:firstLine="482"/>
        <w:rPr>
          <w:bCs/>
          <w:color w:val="000000"/>
          <w:sz w:val="24"/>
        </w:rPr>
      </w:pPr>
      <w:r>
        <w:rPr>
          <w:rFonts w:hint="eastAsia"/>
          <w:bCs/>
          <w:color w:val="000000"/>
          <w:sz w:val="24"/>
        </w:rPr>
        <w:t>近年来，随着汽车工业的迅速发展，汽车是一种性能要求高，负荷变化大的运输工具。其汽车企业的竞争日益剧烈，控制整车成本是车企为获得更多利润的首选动作。优良耐久而性能可靠的汽车零部件产品，是汽车整车安全和各项性能的基本保障，因而汽车零部件产品的质量问题，受到社会各界的广泛关注和重视。汽车油管和气管是汽车动力系统重要的安全件，其质量优劣直接影响汽车的安全性能。它本身的机械性能、物理性能、密封性能及可靠性等各项性能都需要考核指标，首先是密封性问题问题，燃料（主要是油或气）或其它润滑液体一旦泄漏具有非常大的安全隐患，极易导致发动机舱或驾驶舱自燃或爆炸，可能导致人员伤亡，危害人身安全，或可能导致重大事故造成极大经济损失。汽车在不同的气候及地理环境下（如春季、夏季、秋季、冬季及北方地区和南方地区），汽车油气管或接头可能出现热胀冷缩原理变软、变硬等不同的变化，而导致油气管与非金属管路标准接头性能下降出现松动或断开，使汽车将瞬间失去动力，极其危险。因此，在模拟汽车运行时，应考察汽车油气管与非金属管路标准接头在室温条件下的性能可靠性显得尤为重要。</w:t>
      </w:r>
    </w:p>
    <w:p>
      <w:pPr>
        <w:spacing w:line="360" w:lineRule="auto"/>
        <w:ind w:firstLine="480" w:firstLineChars="200"/>
        <w:jc w:val="left"/>
        <w:rPr>
          <w:bCs/>
          <w:color w:val="000000"/>
          <w:sz w:val="24"/>
        </w:rPr>
      </w:pPr>
      <w:r>
        <w:rPr>
          <w:color w:val="000000"/>
          <w:sz w:val="24"/>
        </w:rPr>
        <w:t>汽车及汽车零部件制造业是</w:t>
      </w:r>
      <w:r>
        <w:rPr>
          <w:rFonts w:hint="eastAsia"/>
          <w:color w:val="000000"/>
          <w:sz w:val="24"/>
        </w:rPr>
        <w:t>湖北</w:t>
      </w:r>
      <w:r>
        <w:rPr>
          <w:color w:val="000000"/>
          <w:sz w:val="24"/>
        </w:rPr>
        <w:t>第一大支柱产业，武汉作为我国中部崛起的桥头堡，具有十分重要的战略意义</w:t>
      </w:r>
      <w:r>
        <w:rPr>
          <w:rFonts w:hint="eastAsia"/>
          <w:color w:val="000000"/>
          <w:sz w:val="24"/>
        </w:rPr>
        <w:t>，因其位于</w:t>
      </w:r>
      <w:r>
        <w:rPr>
          <w:color w:val="000000"/>
          <w:sz w:val="24"/>
        </w:rPr>
        <w:t>中国中部的中心</w:t>
      </w:r>
      <w:r>
        <w:rPr>
          <w:rFonts w:hint="eastAsia"/>
          <w:color w:val="000000"/>
          <w:sz w:val="24"/>
        </w:rPr>
        <w:t>，武汉又有“中国车都”之称，而优良耐久的汽车零部件产品，又是汽车整车安全和各项性能的基本保障，因而汽车零部件产品的质量问题，受到社会各界的广泛关注与重视。</w:t>
      </w:r>
    </w:p>
    <w:p>
      <w:pPr>
        <w:spacing w:line="360" w:lineRule="auto"/>
        <w:ind w:firstLine="480" w:firstLineChars="200"/>
        <w:jc w:val="left"/>
        <w:rPr>
          <w:rFonts w:ascii="Calibri" w:hAnsi="Calibri" w:eastAsia="宋体" w:cs="Times New Roman"/>
          <w:bCs/>
          <w:color w:val="000000"/>
          <w:sz w:val="24"/>
        </w:rPr>
      </w:pPr>
      <w:r>
        <w:rPr>
          <w:rFonts w:hint="eastAsia"/>
          <w:color w:val="000000"/>
          <w:sz w:val="24"/>
        </w:rPr>
        <w:t>综上所述，汽车整车安全可靠的重要前提条件之一是油气管有绝对的可靠性。因此，而在模拟汽车运行时，油气管因其工作环境的特殊性，，需强调室温、高温、低温条件，因此考察汽车油管或气管与非金属管路标准接头在室温条件下的性能可靠性显得尤为重要。为了提高产品质量安全和提升检测能力，更好地满足市场经济快速发展的需求，特制定本标准。</w:t>
      </w:r>
    </w:p>
    <w:p>
      <w:pPr>
        <w:spacing w:line="360" w:lineRule="auto"/>
        <w:ind w:firstLine="480" w:firstLineChars="200"/>
        <w:jc w:val="left"/>
        <w:rPr>
          <w:rFonts w:ascii="Calibri" w:hAnsi="Calibri" w:eastAsia="宋体" w:cs="Times New Roman"/>
          <w:bCs/>
          <w:color w:val="000000"/>
          <w:sz w:val="24"/>
        </w:rPr>
      </w:pPr>
      <w:r>
        <w:rPr>
          <w:rFonts w:hint="eastAsia" w:ascii="Calibri" w:hAnsi="Calibri" w:eastAsia="宋体" w:cs="Times New Roman"/>
          <w:bCs/>
          <w:color w:val="000000"/>
          <w:sz w:val="24"/>
        </w:rPr>
        <w:t>迄今为止，国内未见该类标准，经查，国外有该类型标准</w:t>
      </w:r>
      <w:r>
        <w:rPr>
          <w:rFonts w:hint="eastAsia"/>
          <w:bCs/>
          <w:color w:val="000000"/>
          <w:sz w:val="24"/>
        </w:rPr>
        <w:t>1</w:t>
      </w:r>
      <w:r>
        <w:rPr>
          <w:rFonts w:hint="eastAsia" w:ascii="Calibri" w:hAnsi="Calibri" w:eastAsia="宋体" w:cs="Times New Roman"/>
          <w:bCs/>
          <w:color w:val="000000"/>
          <w:sz w:val="24"/>
        </w:rPr>
        <w:t>项（如：</w:t>
      </w:r>
      <w:r>
        <w:rPr>
          <w:rFonts w:hint="eastAsia"/>
          <w:bCs/>
          <w:color w:val="000000"/>
          <w:sz w:val="24"/>
        </w:rPr>
        <w:t>SAE J2045 燃油系统管路总成性能要求</w:t>
      </w:r>
      <w:r>
        <w:rPr>
          <w:rFonts w:hint="eastAsia" w:ascii="Calibri" w:hAnsi="Calibri" w:eastAsia="宋体" w:cs="Times New Roman"/>
          <w:bCs/>
          <w:color w:val="000000"/>
          <w:sz w:val="24"/>
        </w:rPr>
        <w:t>）。本项目承担小组通过分析研究和验证，试验数据和分析结论与国外标准吻合，最终通过讨论选择</w:t>
      </w:r>
      <w:r>
        <w:rPr>
          <w:rFonts w:hint="eastAsia"/>
          <w:bCs/>
          <w:color w:val="000000"/>
          <w:sz w:val="24"/>
        </w:rPr>
        <w:t>SAE J2045</w:t>
      </w:r>
      <w:r>
        <w:rPr>
          <w:rFonts w:hint="eastAsia" w:ascii="Calibri" w:hAnsi="Calibri" w:eastAsia="宋体" w:cs="Times New Roman"/>
          <w:bCs/>
          <w:color w:val="000000"/>
          <w:sz w:val="24"/>
        </w:rPr>
        <w:t>标准为本</w:t>
      </w:r>
      <w:r>
        <w:rPr>
          <w:rFonts w:hint="eastAsia"/>
          <w:bCs/>
          <w:color w:val="000000"/>
          <w:sz w:val="24"/>
        </w:rPr>
        <w:t>标准的</w:t>
      </w:r>
      <w:r>
        <w:rPr>
          <w:rFonts w:hint="eastAsia" w:ascii="Calibri" w:hAnsi="Calibri" w:eastAsia="宋体" w:cs="Times New Roman"/>
          <w:bCs/>
          <w:color w:val="000000"/>
          <w:sz w:val="24"/>
        </w:rPr>
        <w:t>参考标准。</w:t>
      </w:r>
    </w:p>
    <w:p>
      <w:pPr>
        <w:spacing w:line="360" w:lineRule="auto"/>
        <w:ind w:firstLine="482"/>
        <w:rPr>
          <w:color w:val="000000"/>
          <w:sz w:val="24"/>
        </w:rPr>
      </w:pPr>
    </w:p>
    <w:p>
      <w:pPr>
        <w:spacing w:line="360" w:lineRule="auto"/>
        <w:ind w:firstLine="482"/>
        <w:rPr>
          <w:rFonts w:hint="eastAsia"/>
          <w:color w:val="000000"/>
          <w:sz w:val="24"/>
        </w:rPr>
      </w:pPr>
    </w:p>
    <w:p>
      <w:pPr>
        <w:spacing w:line="360" w:lineRule="auto"/>
        <w:ind w:firstLine="482"/>
        <w:rPr>
          <w:color w:val="000000"/>
          <w:sz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标准的结构</w:t>
      </w:r>
    </w:p>
    <w:p>
      <w:pPr>
        <w:spacing w:line="360" w:lineRule="auto"/>
        <w:ind w:firstLine="480" w:firstLineChars="200"/>
        <w:rPr>
          <w:bCs/>
          <w:color w:val="000000"/>
          <w:sz w:val="24"/>
        </w:rPr>
      </w:pPr>
      <w:r>
        <w:rPr>
          <w:rFonts w:hint="eastAsia"/>
          <w:bCs/>
          <w:color w:val="000000"/>
          <w:sz w:val="24"/>
        </w:rPr>
        <w:t>本标准的结构如下：分为前言、引言，第1章为范围，第2章为规范性引用文件，第3章为术语和定义，第4章为原理，第5章为仪器，第6章为试样，第7章为状态调节，第8章为试验步骤，第9章为试验结果，第10章为试验报告。</w:t>
      </w:r>
    </w:p>
    <w:p>
      <w:pPr>
        <w:pStyle w:val="14"/>
        <w:spacing w:line="360" w:lineRule="auto"/>
        <w:ind w:firstLine="480"/>
        <w:rPr>
          <w:rFonts w:ascii="Times New Roman" w:hAnsi="Times New Roman"/>
          <w:sz w:val="24"/>
          <w:szCs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主要技术工作介绍</w:t>
      </w:r>
    </w:p>
    <w:p>
      <w:pPr>
        <w:pStyle w:val="14"/>
        <w:numPr>
          <w:ilvl w:val="0"/>
          <w:numId w:val="4"/>
        </w:numPr>
        <w:spacing w:line="360" w:lineRule="auto"/>
        <w:ind w:firstLineChars="0"/>
        <w:rPr>
          <w:rFonts w:hAnsi="宋体"/>
          <w:b/>
          <w:sz w:val="24"/>
          <w:szCs w:val="24"/>
        </w:rPr>
      </w:pPr>
      <w:r>
        <w:rPr>
          <w:rFonts w:hint="eastAsia" w:hAnsi="宋体"/>
          <w:b/>
          <w:sz w:val="24"/>
          <w:szCs w:val="24"/>
        </w:rPr>
        <w:t>适用范围</w:t>
      </w:r>
    </w:p>
    <w:p>
      <w:pPr>
        <w:spacing w:line="360" w:lineRule="auto"/>
        <w:ind w:firstLine="480" w:firstLineChars="200"/>
        <w:rPr>
          <w:bCs/>
          <w:color w:val="000000"/>
          <w:sz w:val="24"/>
        </w:rPr>
      </w:pPr>
      <w:r>
        <w:rPr>
          <w:rFonts w:hint="eastAsia"/>
          <w:bCs/>
          <w:color w:val="000000"/>
          <w:sz w:val="24"/>
        </w:rPr>
        <w:t>本文件规定了汽车油管和气管与非金属管路标准接头连接后,在室温条件下耐纵向拉拔性能的试验方法。</w:t>
      </w:r>
    </w:p>
    <w:p>
      <w:pPr>
        <w:spacing w:line="360" w:lineRule="auto"/>
        <w:ind w:firstLine="480" w:firstLineChars="200"/>
        <w:rPr>
          <w:bCs/>
          <w:color w:val="000000"/>
          <w:sz w:val="24"/>
        </w:rPr>
      </w:pPr>
      <w:r>
        <w:rPr>
          <w:rFonts w:hint="eastAsia"/>
          <w:bCs/>
          <w:color w:val="000000"/>
          <w:sz w:val="24"/>
        </w:rPr>
        <w:t>本文件适用于汽车油管和气管与非金属管路不同材质、不同结构形式的管路标准接头连接。</w:t>
      </w:r>
    </w:p>
    <w:p>
      <w:pPr>
        <w:spacing w:line="360" w:lineRule="auto"/>
        <w:ind w:firstLine="480" w:firstLineChars="200"/>
        <w:rPr>
          <w:bCs/>
          <w:color w:val="000000"/>
          <w:sz w:val="24"/>
        </w:rPr>
      </w:pPr>
      <w:r>
        <w:rPr>
          <w:rFonts w:hint="eastAsia"/>
          <w:bCs/>
          <w:color w:val="000000"/>
          <w:sz w:val="24"/>
        </w:rPr>
        <w:t>本文件不适用于熔焊连接。</w:t>
      </w:r>
    </w:p>
    <w:p>
      <w:pPr>
        <w:pStyle w:val="14"/>
        <w:spacing w:line="360" w:lineRule="auto"/>
        <w:ind w:left="360" w:firstLine="0" w:firstLineChars="0"/>
        <w:rPr>
          <w:rFonts w:hAnsi="宋体"/>
          <w:sz w:val="24"/>
          <w:szCs w:val="24"/>
        </w:rPr>
      </w:pPr>
    </w:p>
    <w:p>
      <w:pPr>
        <w:pStyle w:val="14"/>
        <w:numPr>
          <w:ilvl w:val="0"/>
          <w:numId w:val="4"/>
        </w:numPr>
        <w:spacing w:line="360" w:lineRule="auto"/>
        <w:ind w:firstLineChars="0"/>
        <w:rPr>
          <w:rFonts w:hAnsi="宋体"/>
          <w:b/>
          <w:sz w:val="24"/>
          <w:szCs w:val="24"/>
        </w:rPr>
      </w:pPr>
      <w:r>
        <w:rPr>
          <w:rFonts w:hint="eastAsia" w:hAnsi="宋体"/>
          <w:b/>
          <w:sz w:val="24"/>
          <w:szCs w:val="24"/>
        </w:rPr>
        <w:t>试验原理</w:t>
      </w:r>
    </w:p>
    <w:p>
      <w:pPr>
        <w:pStyle w:val="15"/>
        <w:spacing w:line="360" w:lineRule="auto"/>
        <w:ind w:firstLine="480"/>
        <w:rPr>
          <w:bCs/>
          <w:color w:val="000000"/>
          <w:sz w:val="24"/>
        </w:rPr>
      </w:pPr>
      <w:r>
        <w:rPr>
          <w:rFonts w:hint="eastAsia"/>
          <w:bCs/>
          <w:color w:val="000000"/>
          <w:sz w:val="24"/>
        </w:rPr>
        <w:t>在恒速移动的拉力试验机上，将汽车用油管或气管产品总成试样进行室温拉拔试验，检验汽车油管或气管与非金属管路标准接头连接后在室温环境下所承受纵向拉力时的耐拉拔能力，并按要求在不中断拉拔试样的过程中或在其拉脱时记录所用的拉力值。</w:t>
      </w:r>
    </w:p>
    <w:p>
      <w:pPr>
        <w:pStyle w:val="14"/>
        <w:spacing w:line="360" w:lineRule="auto"/>
        <w:ind w:firstLine="480"/>
        <w:rPr>
          <w:rFonts w:asciiTheme="minorEastAsia" w:hAnsiTheme="minorEastAsia"/>
          <w:sz w:val="24"/>
          <w:szCs w:val="24"/>
        </w:rPr>
      </w:pPr>
    </w:p>
    <w:p>
      <w:pPr>
        <w:pStyle w:val="20"/>
        <w:numPr>
          <w:ilvl w:val="0"/>
          <w:numId w:val="4"/>
        </w:numPr>
        <w:spacing w:line="360" w:lineRule="auto"/>
        <w:ind w:left="357" w:hanging="357" w:firstLineChars="0"/>
        <w:rPr>
          <w:rFonts w:hAnsi="宋体"/>
          <w:b/>
          <w:sz w:val="24"/>
          <w:szCs w:val="24"/>
        </w:rPr>
      </w:pPr>
      <w:r>
        <w:rPr>
          <w:rFonts w:hint="eastAsia" w:hAnsi="宋体"/>
          <w:b/>
          <w:sz w:val="24"/>
          <w:szCs w:val="24"/>
        </w:rPr>
        <w:t>试验试样</w:t>
      </w:r>
    </w:p>
    <w:p>
      <w:pPr>
        <w:pStyle w:val="15"/>
        <w:spacing w:line="360" w:lineRule="auto"/>
        <w:ind w:firstLine="480"/>
        <w:rPr>
          <w:rFonts w:asciiTheme="minorHAnsi" w:hAnsiTheme="minorHAnsi" w:eastAsiaTheme="minorEastAsia" w:cstheme="minorBidi"/>
          <w:bCs/>
          <w:color w:val="000000"/>
          <w:kern w:val="2"/>
          <w:sz w:val="24"/>
          <w:szCs w:val="22"/>
        </w:rPr>
      </w:pPr>
      <w:r>
        <w:rPr>
          <w:rFonts w:hint="eastAsia" w:asciiTheme="minorHAnsi" w:hAnsiTheme="minorHAnsi" w:eastAsiaTheme="minorEastAsia" w:cstheme="minorBidi"/>
          <w:bCs/>
          <w:color w:val="000000"/>
          <w:kern w:val="2"/>
          <w:sz w:val="24"/>
          <w:szCs w:val="22"/>
        </w:rPr>
        <w:t>试样由汽车油管或气管与非金属管路标准接头连接组装而成，每件管路长度至少为300mm。油管或气管尺寸应与非金属管路标准接头相配。</w:t>
      </w:r>
    </w:p>
    <w:p>
      <w:pPr>
        <w:widowControl/>
        <w:spacing w:line="360" w:lineRule="auto"/>
        <w:ind w:firstLine="420" w:firstLineChars="200"/>
        <w:jc w:val="left"/>
      </w:pPr>
    </w:p>
    <w:p>
      <w:pPr>
        <w:pStyle w:val="20"/>
        <w:numPr>
          <w:ilvl w:val="0"/>
          <w:numId w:val="4"/>
        </w:numPr>
        <w:spacing w:line="360" w:lineRule="auto"/>
        <w:ind w:left="357" w:hanging="357" w:firstLineChars="0"/>
        <w:rPr>
          <w:b/>
          <w:bCs/>
          <w:sz w:val="24"/>
          <w:szCs w:val="24"/>
        </w:rPr>
      </w:pPr>
      <w:r>
        <w:rPr>
          <w:rFonts w:hint="eastAsia"/>
          <w:b/>
          <w:bCs/>
          <w:sz w:val="24"/>
          <w:szCs w:val="24"/>
        </w:rPr>
        <w:t>试验方法</w:t>
      </w:r>
    </w:p>
    <w:p>
      <w:pPr>
        <w:widowControl/>
        <w:spacing w:line="360" w:lineRule="auto"/>
        <w:ind w:firstLine="480" w:firstLineChars="200"/>
        <w:jc w:val="left"/>
        <w:rPr>
          <w:bCs/>
          <w:color w:val="000000"/>
          <w:sz w:val="24"/>
        </w:rPr>
      </w:pPr>
      <w:r>
        <w:rPr>
          <w:rFonts w:hint="eastAsia"/>
          <w:bCs/>
          <w:color w:val="000000"/>
          <w:sz w:val="24"/>
        </w:rPr>
        <w:t>根据试验所需的温度，调节试样状态温度为23℃，50%湿度并保持24h以上，在室温环境下进行拉拔试验。</w:t>
      </w:r>
    </w:p>
    <w:p>
      <w:pPr>
        <w:widowControl/>
        <w:spacing w:line="360" w:lineRule="auto"/>
        <w:ind w:firstLine="480" w:firstLineChars="200"/>
        <w:jc w:val="left"/>
        <w:rPr>
          <w:bCs/>
          <w:color w:val="000000"/>
          <w:sz w:val="24"/>
        </w:rPr>
      </w:pPr>
      <w:r>
        <w:rPr>
          <w:rFonts w:hint="eastAsia"/>
          <w:bCs/>
          <w:color w:val="000000"/>
          <w:sz w:val="24"/>
        </w:rPr>
        <w:t>将汽车油管或气管产品总成试样安装固定在拉力机的夹具上，并仔细地将其调节对称中心位置，确保受力方向无偏差，以便使试样在横截面上的拉拔力分布均匀。设定拉力试验机拉拔测试速度，拉拔试验速度为50mm/min±5mm/min。</w:t>
      </w:r>
    </w:p>
    <w:p>
      <w:pPr>
        <w:widowControl/>
        <w:spacing w:line="360" w:lineRule="auto"/>
        <w:ind w:firstLine="480" w:firstLineChars="200"/>
        <w:jc w:val="left"/>
        <w:rPr>
          <w:bCs/>
          <w:color w:val="000000"/>
          <w:sz w:val="24"/>
        </w:rPr>
      </w:pPr>
      <w:r>
        <w:rPr>
          <w:rFonts w:hint="eastAsia"/>
          <w:bCs/>
          <w:color w:val="000000"/>
          <w:sz w:val="24"/>
        </w:rPr>
        <w:t>匀速加载拉力直至油管或气管与非金属管路标准接头连接拉脱或破裂损坏为止，记下最大拉拔力值。</w:t>
      </w:r>
    </w:p>
    <w:p>
      <w:pPr>
        <w:widowControl/>
        <w:spacing w:line="360" w:lineRule="auto"/>
        <w:ind w:firstLine="480" w:firstLineChars="200"/>
        <w:jc w:val="left"/>
        <w:rPr>
          <w:bCs/>
          <w:color w:val="000000"/>
          <w:sz w:val="24"/>
        </w:rPr>
      </w:pPr>
    </w:p>
    <w:p>
      <w:pPr>
        <w:widowControl/>
        <w:spacing w:line="360" w:lineRule="auto"/>
        <w:ind w:firstLine="480" w:firstLineChars="200"/>
        <w:jc w:val="left"/>
        <w:rPr>
          <w:bCs/>
          <w:color w:val="000000"/>
          <w:sz w:val="24"/>
        </w:rPr>
      </w:pPr>
    </w:p>
    <w:p>
      <w:pPr>
        <w:pStyle w:val="20"/>
        <w:numPr>
          <w:ilvl w:val="0"/>
          <w:numId w:val="4"/>
        </w:numPr>
        <w:spacing w:line="360" w:lineRule="auto"/>
        <w:ind w:left="357" w:hanging="357" w:firstLineChars="0"/>
        <w:rPr>
          <w:b/>
          <w:bCs/>
          <w:sz w:val="24"/>
          <w:szCs w:val="24"/>
        </w:rPr>
      </w:pPr>
      <w:r>
        <w:rPr>
          <w:rFonts w:hint="eastAsia"/>
          <w:b/>
          <w:bCs/>
          <w:sz w:val="24"/>
          <w:szCs w:val="24"/>
        </w:rPr>
        <w:t>标准文献参考</w:t>
      </w:r>
    </w:p>
    <w:p>
      <w:pPr>
        <w:spacing w:line="360" w:lineRule="auto"/>
        <w:ind w:firstLine="480" w:firstLineChars="200"/>
        <w:rPr>
          <w:bCs/>
          <w:color w:val="000000"/>
          <w:sz w:val="24"/>
        </w:rPr>
      </w:pPr>
      <w:r>
        <w:rPr>
          <w:rFonts w:hint="eastAsia"/>
          <w:bCs/>
          <w:color w:val="000000"/>
          <w:sz w:val="24"/>
        </w:rPr>
        <w:t>SAE J2045-2012 燃油系统管路总成性能要求</w:t>
      </w:r>
    </w:p>
    <w:p>
      <w:pPr>
        <w:widowControl/>
        <w:spacing w:line="360" w:lineRule="auto"/>
        <w:ind w:firstLine="480" w:firstLineChars="200"/>
        <w:jc w:val="left"/>
        <w:rPr>
          <w:bCs/>
          <w:color w:val="000000"/>
          <w:sz w:val="24"/>
        </w:rPr>
      </w:pPr>
      <w:r>
        <w:rPr>
          <w:rFonts w:hint="eastAsia"/>
          <w:bCs/>
          <w:color w:val="000000"/>
          <w:sz w:val="24"/>
        </w:rPr>
        <w:t>GB/T 15820-1995 聚乙烯压力管材与管件连接的耐拉拔试验</w:t>
      </w:r>
    </w:p>
    <w:p>
      <w:pPr>
        <w:widowControl/>
        <w:spacing w:line="360" w:lineRule="auto"/>
        <w:ind w:firstLine="480" w:firstLineChars="200"/>
        <w:jc w:val="left"/>
        <w:rPr>
          <w:bCs/>
          <w:color w:val="000000"/>
          <w:sz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试验开展和结果验证</w:t>
      </w:r>
    </w:p>
    <w:p>
      <w:pPr>
        <w:pStyle w:val="21"/>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关于</w:t>
      </w:r>
      <w:r>
        <w:rPr>
          <w:rFonts w:asciiTheme="minorEastAsia" w:hAnsiTheme="minorEastAsia" w:eastAsiaTheme="minorEastAsia"/>
          <w:b/>
          <w:spacing w:val="-11"/>
          <w:sz w:val="24"/>
          <w:szCs w:val="24"/>
        </w:rPr>
        <w:t>试验验证的说明</w:t>
      </w: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r>
        <w:rPr>
          <w:rFonts w:hint="eastAsia" w:ascii="Calibri" w:hAnsi="Calibri" w:eastAsia="宋体" w:cs="Times New Roman"/>
          <w:bCs/>
          <w:color w:val="000000"/>
          <w:kern w:val="2"/>
          <w:sz w:val="24"/>
          <w:lang w:val="en-US" w:bidi="ar-SA"/>
        </w:rPr>
        <w:t>本试验方法是在</w:t>
      </w:r>
      <w:r>
        <w:rPr>
          <w:rFonts w:hint="eastAsia" w:asciiTheme="minorHAnsi" w:hAnsiTheme="minorHAnsi" w:eastAsiaTheme="minorEastAsia" w:cstheme="minorBidi"/>
          <w:bCs/>
          <w:color w:val="000000"/>
          <w:kern w:val="2"/>
          <w:sz w:val="24"/>
          <w:lang w:val="en-US" w:bidi="ar-SA"/>
        </w:rPr>
        <w:t>室温</w:t>
      </w:r>
      <w:r>
        <w:rPr>
          <w:rFonts w:hint="eastAsia" w:ascii="Calibri" w:hAnsi="Calibri" w:eastAsia="宋体" w:cs="Times New Roman"/>
          <w:bCs/>
          <w:color w:val="000000"/>
          <w:kern w:val="2"/>
          <w:sz w:val="24"/>
          <w:lang w:val="en-US" w:bidi="ar-SA"/>
        </w:rPr>
        <w:t>环境温度</w:t>
      </w:r>
      <w:r>
        <w:rPr>
          <w:rFonts w:hint="eastAsia" w:asciiTheme="minorHAnsi" w:hAnsiTheme="minorHAnsi" w:eastAsiaTheme="minorEastAsia" w:cstheme="minorBidi"/>
          <w:bCs/>
          <w:color w:val="000000"/>
          <w:kern w:val="2"/>
          <w:sz w:val="24"/>
          <w:lang w:val="en-US" w:bidi="ar-SA"/>
        </w:rPr>
        <w:t>条件下</w:t>
      </w:r>
      <w:r>
        <w:rPr>
          <w:rFonts w:hint="eastAsia" w:ascii="Calibri" w:hAnsi="Calibri" w:eastAsia="宋体" w:cs="Times New Roman"/>
          <w:bCs/>
          <w:color w:val="000000"/>
          <w:kern w:val="2"/>
          <w:sz w:val="24"/>
          <w:lang w:val="en-US" w:bidi="ar-SA"/>
        </w:rPr>
        <w:t>对</w:t>
      </w:r>
      <w:r>
        <w:rPr>
          <w:rFonts w:hint="eastAsia" w:asciiTheme="minorHAnsi" w:hAnsiTheme="minorHAnsi" w:eastAsiaTheme="minorEastAsia" w:cstheme="minorBidi"/>
          <w:bCs/>
          <w:color w:val="000000"/>
          <w:kern w:val="2"/>
          <w:sz w:val="24"/>
          <w:lang w:val="en-US" w:bidi="ar-SA"/>
        </w:rPr>
        <w:t>汽车油管或气管与非金属管路标准接头进行纵向拉拔性能试验，对产品的</w:t>
      </w:r>
      <w:r>
        <w:rPr>
          <w:rFonts w:hint="eastAsia" w:ascii="Calibri" w:hAnsi="Calibri" w:eastAsia="宋体" w:cs="Times New Roman"/>
          <w:bCs/>
          <w:color w:val="000000"/>
          <w:kern w:val="2"/>
          <w:sz w:val="24"/>
          <w:lang w:val="en-US" w:bidi="ar-SA"/>
        </w:rPr>
        <w:t>力学性能进行了量化分析，试验验证工作主要由</w:t>
      </w:r>
      <w:r>
        <w:rPr>
          <w:rFonts w:hint="eastAsia" w:asciiTheme="minorHAnsi" w:hAnsiTheme="minorHAnsi" w:eastAsiaTheme="minorEastAsia" w:cstheme="minorBidi"/>
          <w:bCs/>
          <w:color w:val="000000"/>
          <w:kern w:val="2"/>
          <w:sz w:val="24"/>
          <w:lang w:val="en-US" w:bidi="ar-SA"/>
        </w:rPr>
        <w:t>湖北中检检测有限公司</w:t>
      </w:r>
      <w:r>
        <w:rPr>
          <w:rFonts w:hint="eastAsia" w:ascii="Calibri" w:hAnsi="Calibri" w:eastAsia="宋体" w:cs="Times New Roman"/>
          <w:bCs/>
          <w:color w:val="000000"/>
          <w:kern w:val="2"/>
          <w:sz w:val="24"/>
          <w:lang w:val="en-US" w:bidi="ar-SA"/>
        </w:rPr>
        <w:t>材料实验室承担（湖北中检检测有限公司属于中国检验认证集团湖北有限公司的子公司，负责测试业务的第三方实验室）</w:t>
      </w:r>
      <w:r>
        <w:rPr>
          <w:rFonts w:hint="eastAsia" w:asciiTheme="minorHAnsi" w:hAnsiTheme="minorHAnsi" w:eastAsiaTheme="minorEastAsia" w:cstheme="minorBidi"/>
          <w:bCs/>
          <w:color w:val="000000"/>
          <w:kern w:val="2"/>
          <w:sz w:val="24"/>
          <w:lang w:val="en-US" w:bidi="ar-SA"/>
        </w:rPr>
        <w:t>，</w:t>
      </w:r>
      <w:r>
        <w:rPr>
          <w:rFonts w:hint="eastAsia" w:ascii="Calibri" w:hAnsi="Calibri" w:eastAsia="宋体" w:cs="Times New Roman"/>
          <w:bCs/>
          <w:color w:val="000000"/>
          <w:kern w:val="2"/>
          <w:sz w:val="24"/>
          <w:lang w:val="en-US" w:bidi="ar-SA"/>
        </w:rPr>
        <w:t>其中武汉品荐检测科技有限公司、武汉武测检测技术有限公司、武汉海关技术中心为外部单位协作验证。</w:t>
      </w: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实验材料</w:t>
      </w:r>
    </w:p>
    <w:p>
      <w:pPr>
        <w:autoSpaceDE w:val="0"/>
        <w:autoSpaceDN w:val="0"/>
        <w:adjustRightInd w:val="0"/>
        <w:spacing w:line="360" w:lineRule="auto"/>
        <w:ind w:firstLine="480" w:firstLineChars="200"/>
        <w:jc w:val="left"/>
        <w:rPr>
          <w:bCs/>
          <w:color w:val="000000"/>
          <w:sz w:val="24"/>
        </w:rPr>
      </w:pPr>
      <w:r>
        <w:rPr>
          <w:rFonts w:hint="eastAsia"/>
          <w:bCs/>
          <w:color w:val="000000"/>
          <w:sz w:val="24"/>
        </w:rPr>
        <w:t>汽车油管总成和气管总成为汽配城市场采购所得，油管和气管与非金属管路标准接头通过高温冲压组合连接成标准产品。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4" w:hRule="atLeast"/>
        </w:trPr>
        <w:tc>
          <w:tcPr>
            <w:tcW w:w="8522" w:type="dxa"/>
          </w:tcPr>
          <w:p>
            <w:pPr>
              <w:pStyle w:val="21"/>
              <w:spacing w:line="360" w:lineRule="auto"/>
              <w:jc w:val="both"/>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drawing>
                <wp:anchor distT="0" distB="0" distL="114300" distR="114300" simplePos="0" relativeHeight="251661312" behindDoc="0" locked="0" layoutInCell="1" allowOverlap="1">
                  <wp:simplePos x="0" y="0"/>
                  <wp:positionH relativeFrom="column">
                    <wp:posOffset>1136015</wp:posOffset>
                  </wp:positionH>
                  <wp:positionV relativeFrom="paragraph">
                    <wp:posOffset>50800</wp:posOffset>
                  </wp:positionV>
                  <wp:extent cx="2844800" cy="2121535"/>
                  <wp:effectExtent l="19050" t="0" r="0" b="0"/>
                  <wp:wrapNone/>
                  <wp:docPr id="4" name="图片 3" descr="C:\Users\lizhi\AppData\Local\Temp\WeChat Files\2efbb178330af8cc2650ced131135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Users\lizhi\AppData\Local\Temp\WeChat Files\2efbb178330af8cc2650ced131135b1.jpg"/>
                          <pic:cNvPicPr>
                            <a:picLocks noChangeAspect="1" noChangeArrowheads="1"/>
                          </pic:cNvPicPr>
                        </pic:nvPicPr>
                        <pic:blipFill>
                          <a:blip r:embed="rId5" cstate="print"/>
                          <a:srcRect/>
                          <a:stretch>
                            <a:fillRect/>
                          </a:stretch>
                        </pic:blipFill>
                        <pic:spPr>
                          <a:xfrm>
                            <a:off x="0" y="0"/>
                            <a:ext cx="2844800" cy="2121535"/>
                          </a:xfrm>
                          <a:prstGeom prst="rect">
                            <a:avLst/>
                          </a:prstGeom>
                          <a:noFill/>
                          <a:ln w="9525">
                            <a:noFill/>
                            <a:miter lim="800000"/>
                            <a:headEnd/>
                            <a:tailEnd/>
                          </a:ln>
                        </pic:spPr>
                      </pic:pic>
                    </a:graphicData>
                  </a:graphic>
                </wp:anchor>
              </w:drawing>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522" w:type="dxa"/>
          </w:tcPr>
          <w:p>
            <w:pPr>
              <w:pStyle w:val="21"/>
              <w:spacing w:line="360" w:lineRule="auto"/>
              <w:jc w:val="center"/>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t>汽车气管总成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9" w:hRule="atLeast"/>
        </w:trPr>
        <w:tc>
          <w:tcPr>
            <w:tcW w:w="8522" w:type="dxa"/>
          </w:tcPr>
          <w:p>
            <w:pPr>
              <w:pStyle w:val="21"/>
              <w:spacing w:line="360" w:lineRule="auto"/>
              <w:jc w:val="both"/>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drawing>
                <wp:anchor distT="0" distB="0" distL="114300" distR="114300" simplePos="0" relativeHeight="251662336" behindDoc="0" locked="0" layoutInCell="1" allowOverlap="1">
                  <wp:simplePos x="0" y="0"/>
                  <wp:positionH relativeFrom="column">
                    <wp:posOffset>1006475</wp:posOffset>
                  </wp:positionH>
                  <wp:positionV relativeFrom="paragraph">
                    <wp:posOffset>88900</wp:posOffset>
                  </wp:positionV>
                  <wp:extent cx="3061970" cy="2294255"/>
                  <wp:effectExtent l="19050" t="0" r="5080" b="0"/>
                  <wp:wrapNone/>
                  <wp:docPr id="2" name="图片 2" descr="C:\Users\lizhi\AppData\Local\Temp\WeChat Files\23b9549326a7f42473565082f0035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izhi\AppData\Local\Temp\WeChat Files\23b9549326a7f42473565082f0035f2.jpg"/>
                          <pic:cNvPicPr>
                            <a:picLocks noChangeAspect="1" noChangeArrowheads="1"/>
                          </pic:cNvPicPr>
                        </pic:nvPicPr>
                        <pic:blipFill>
                          <a:blip r:embed="rId6" cstate="print"/>
                          <a:srcRect/>
                          <a:stretch>
                            <a:fillRect/>
                          </a:stretch>
                        </pic:blipFill>
                        <pic:spPr>
                          <a:xfrm>
                            <a:off x="0" y="0"/>
                            <a:ext cx="3061970" cy="2294255"/>
                          </a:xfrm>
                          <a:prstGeom prst="rect">
                            <a:avLst/>
                          </a:prstGeom>
                          <a:noFill/>
                          <a:ln w="9525">
                            <a:noFill/>
                            <a:miter lim="800000"/>
                            <a:headEnd/>
                            <a:tailEnd/>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522" w:type="dxa"/>
          </w:tcPr>
          <w:p>
            <w:pPr>
              <w:pStyle w:val="21"/>
              <w:spacing w:line="360" w:lineRule="auto"/>
              <w:jc w:val="center"/>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t>汽车气管总成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9" w:hRule="atLeast"/>
        </w:trPr>
        <w:tc>
          <w:tcPr>
            <w:tcW w:w="8522" w:type="dxa"/>
          </w:tcPr>
          <w:p>
            <w:pPr>
              <w:pStyle w:val="21"/>
              <w:spacing w:line="360" w:lineRule="auto"/>
              <w:jc w:val="both"/>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drawing>
                <wp:anchor distT="0" distB="0" distL="114300" distR="114300" simplePos="0" relativeHeight="251663360" behindDoc="0" locked="0" layoutInCell="1" allowOverlap="1">
                  <wp:simplePos x="0" y="0"/>
                  <wp:positionH relativeFrom="column">
                    <wp:posOffset>1006475</wp:posOffset>
                  </wp:positionH>
                  <wp:positionV relativeFrom="paragraph">
                    <wp:posOffset>94615</wp:posOffset>
                  </wp:positionV>
                  <wp:extent cx="3063875" cy="2294890"/>
                  <wp:effectExtent l="19050" t="0" r="2924" b="0"/>
                  <wp:wrapNone/>
                  <wp:docPr id="1" name="图片 3" descr="C:\Users\lizhi\AppData\Local\Temp\WeChat Files\4b44a7f78571b4999089f3a85b9ef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C:\Users\lizhi\AppData\Local\Temp\WeChat Files\4b44a7f78571b4999089f3a85b9ef99.jpg"/>
                          <pic:cNvPicPr>
                            <a:picLocks noChangeAspect="1" noChangeArrowheads="1"/>
                          </pic:cNvPicPr>
                        </pic:nvPicPr>
                        <pic:blipFill>
                          <a:blip r:embed="rId7" cstate="print"/>
                          <a:srcRect/>
                          <a:stretch>
                            <a:fillRect/>
                          </a:stretch>
                        </pic:blipFill>
                        <pic:spPr>
                          <a:xfrm>
                            <a:off x="0" y="0"/>
                            <a:ext cx="3064126" cy="2294626"/>
                          </a:xfrm>
                          <a:prstGeom prst="rect">
                            <a:avLst/>
                          </a:prstGeom>
                          <a:noFill/>
                          <a:ln w="9525">
                            <a:noFill/>
                            <a:miter lim="800000"/>
                            <a:headEnd/>
                            <a:tailEnd/>
                          </a:ln>
                        </pic:spPr>
                      </pic:pic>
                    </a:graphicData>
                  </a:graphic>
                </wp:anchor>
              </w:drawing>
            </w:r>
          </w:p>
        </w:tc>
      </w:tr>
    </w:tbl>
    <w:p>
      <w:pPr>
        <w:pStyle w:val="21"/>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试验设备</w:t>
      </w:r>
    </w:p>
    <w:p>
      <w:pPr>
        <w:autoSpaceDE w:val="0"/>
        <w:autoSpaceDN w:val="0"/>
        <w:adjustRightInd w:val="0"/>
        <w:spacing w:line="360" w:lineRule="auto"/>
        <w:ind w:firstLine="480" w:firstLineChars="200"/>
        <w:jc w:val="left"/>
        <w:rPr>
          <w:bCs/>
          <w:color w:val="000000"/>
          <w:sz w:val="24"/>
        </w:rPr>
      </w:pPr>
      <w:r>
        <w:rPr>
          <w:rFonts w:hint="eastAsia"/>
          <w:bCs/>
          <w:color w:val="000000"/>
          <w:sz w:val="24"/>
        </w:rPr>
        <w:t>验证实验所用设备：</w:t>
      </w:r>
    </w:p>
    <w:p>
      <w:pPr>
        <w:pStyle w:val="21"/>
        <w:spacing w:line="360" w:lineRule="auto"/>
        <w:ind w:firstLine="480" w:firstLineChars="200"/>
        <w:jc w:val="both"/>
        <w:rPr>
          <w:rFonts w:asciiTheme="minorHAnsi" w:hAnsiTheme="minorHAnsi" w:eastAsiaTheme="minorEastAsia"/>
          <w:bCs/>
          <w:color w:val="000000"/>
          <w:sz w:val="24"/>
        </w:rPr>
      </w:pPr>
      <w:r>
        <w:rPr>
          <w:rFonts w:hint="eastAsia" w:asciiTheme="minorEastAsia" w:hAnsiTheme="minorEastAsia" w:eastAsiaTheme="minorEastAsia" w:cstheme="minorBidi"/>
          <w:bCs/>
          <w:color w:val="000000"/>
          <w:kern w:val="2"/>
          <w:sz w:val="24"/>
          <w:lang w:val="en-US" w:bidi="ar-SA"/>
        </w:rPr>
        <w:t>①.</w:t>
      </w:r>
      <w:r>
        <w:rPr>
          <w:rFonts w:hint="eastAsia" w:asciiTheme="minorHAnsi" w:hAnsiTheme="minorHAnsi" w:eastAsiaTheme="minorEastAsia"/>
          <w:bCs/>
          <w:color w:val="000000"/>
          <w:sz w:val="24"/>
        </w:rPr>
        <w:t>精密电子万能材料试验机、型号AG-X 10kN、设备厂家日本岛津公司；</w:t>
      </w: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r>
        <w:rPr>
          <w:rFonts w:hint="eastAsia" w:asciiTheme="minorHAnsi" w:hAnsiTheme="minorHAnsi" w:eastAsiaTheme="minorEastAsia" w:cstheme="minorBidi"/>
          <w:bCs/>
          <w:color w:val="000000"/>
          <w:kern w:val="2"/>
          <w:sz w:val="24"/>
          <w:lang w:val="en-US" w:bidi="ar-SA"/>
        </w:rPr>
        <w:drawing>
          <wp:anchor distT="0" distB="0" distL="114300" distR="114300" simplePos="0" relativeHeight="251660288" behindDoc="0" locked="0" layoutInCell="1" allowOverlap="1">
            <wp:simplePos x="0" y="0"/>
            <wp:positionH relativeFrom="column">
              <wp:posOffset>2818130</wp:posOffset>
            </wp:positionH>
            <wp:positionV relativeFrom="paragraph">
              <wp:posOffset>56515</wp:posOffset>
            </wp:positionV>
            <wp:extent cx="2687955" cy="3609975"/>
            <wp:effectExtent l="19050" t="0" r="0" b="0"/>
            <wp:wrapNone/>
            <wp:docPr id="8" name="图片 6" descr="E:\团体标准制定\照片\IMG20200515104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E:\团体标准制定\照片\IMG20200515104225.jpg"/>
                    <pic:cNvPicPr>
                      <a:picLocks noChangeAspect="1" noChangeArrowheads="1"/>
                    </pic:cNvPicPr>
                  </pic:nvPicPr>
                  <pic:blipFill>
                    <a:blip r:embed="rId8" cstate="print"/>
                    <a:srcRect/>
                    <a:stretch>
                      <a:fillRect/>
                    </a:stretch>
                  </pic:blipFill>
                  <pic:spPr>
                    <a:xfrm>
                      <a:off x="0" y="0"/>
                      <a:ext cx="2687955" cy="3609975"/>
                    </a:xfrm>
                    <a:prstGeom prst="rect">
                      <a:avLst/>
                    </a:prstGeom>
                    <a:noFill/>
                    <a:ln w="9525">
                      <a:noFill/>
                      <a:miter lim="800000"/>
                      <a:headEnd/>
                      <a:tailEnd/>
                    </a:ln>
                  </pic:spPr>
                </pic:pic>
              </a:graphicData>
            </a:graphic>
          </wp:anchor>
        </w:drawing>
      </w:r>
      <w:r>
        <w:rPr>
          <w:rFonts w:hint="eastAsia" w:asciiTheme="minorHAnsi" w:hAnsiTheme="minorHAnsi" w:eastAsiaTheme="minorEastAsia" w:cstheme="minorBidi"/>
          <w:bCs/>
          <w:color w:val="000000"/>
          <w:kern w:val="2"/>
          <w:sz w:val="24"/>
          <w:lang w:val="en-US" w:bidi="ar-SA"/>
        </w:rPr>
        <w:drawing>
          <wp:anchor distT="0" distB="0" distL="114300" distR="114300" simplePos="0" relativeHeight="251659264" behindDoc="0" locked="0" layoutInCell="1" allowOverlap="1">
            <wp:simplePos x="0" y="0"/>
            <wp:positionH relativeFrom="column">
              <wp:posOffset>-34925</wp:posOffset>
            </wp:positionH>
            <wp:positionV relativeFrom="paragraph">
              <wp:posOffset>59055</wp:posOffset>
            </wp:positionV>
            <wp:extent cx="2692400" cy="3599180"/>
            <wp:effectExtent l="19050" t="0" r="0" b="0"/>
            <wp:wrapNone/>
            <wp:docPr id="7" name="图片 5" descr="E:\团体标准制定\照片\IMG20200515102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E:\团体标准制定\照片\IMG20200515102158.jpg"/>
                    <pic:cNvPicPr>
                      <a:picLocks noChangeAspect="1" noChangeArrowheads="1"/>
                    </pic:cNvPicPr>
                  </pic:nvPicPr>
                  <pic:blipFill>
                    <a:blip r:embed="rId9" cstate="print"/>
                    <a:srcRect/>
                    <a:stretch>
                      <a:fillRect/>
                    </a:stretch>
                  </pic:blipFill>
                  <pic:spPr>
                    <a:xfrm>
                      <a:off x="0" y="0"/>
                      <a:ext cx="2692437" cy="3599459"/>
                    </a:xfrm>
                    <a:prstGeom prst="rect">
                      <a:avLst/>
                    </a:prstGeom>
                    <a:noFill/>
                    <a:ln w="9525">
                      <a:noFill/>
                      <a:miter lim="800000"/>
                      <a:headEnd/>
                      <a:tailEnd/>
                    </a:ln>
                  </pic:spPr>
                </pic:pic>
              </a:graphicData>
            </a:graphic>
          </wp:anchor>
        </w:drawing>
      </w: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r>
        <w:rPr>
          <w:rFonts w:asciiTheme="minorHAnsi" w:hAnsiTheme="minorHAnsi" w:eastAsiaTheme="minorEastAsia" w:cstheme="minorBidi"/>
          <w:bCs/>
          <w:color w:val="000000"/>
          <w:kern w:val="2"/>
          <w:sz w:val="24"/>
          <w:lang w:val="en-US" w:bidi="ar-SA"/>
        </w:rPr>
        <w:drawing>
          <wp:anchor distT="0" distB="0" distL="114300" distR="114300" simplePos="0" relativeHeight="251664384" behindDoc="0" locked="0" layoutInCell="1" allowOverlap="1">
            <wp:simplePos x="0" y="0"/>
            <wp:positionH relativeFrom="column">
              <wp:posOffset>-31750</wp:posOffset>
            </wp:positionH>
            <wp:positionV relativeFrom="paragraph">
              <wp:posOffset>172720</wp:posOffset>
            </wp:positionV>
            <wp:extent cx="2697480" cy="3597910"/>
            <wp:effectExtent l="19050" t="0" r="7620" b="0"/>
            <wp:wrapNone/>
            <wp:docPr id="3" name="图片 2" descr="C:\Users\lizhi\AppData\Local\Temp\WeChat Files\4004c96b12a7fa4d836261fb587df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lizhi\AppData\Local\Temp\WeChat Files\4004c96b12a7fa4d836261fb587df48.jpg"/>
                    <pic:cNvPicPr>
                      <a:picLocks noChangeAspect="1" noChangeArrowheads="1"/>
                    </pic:cNvPicPr>
                  </pic:nvPicPr>
                  <pic:blipFill>
                    <a:blip r:embed="rId10" cstate="print"/>
                    <a:srcRect/>
                    <a:stretch>
                      <a:fillRect/>
                    </a:stretch>
                  </pic:blipFill>
                  <pic:spPr>
                    <a:xfrm>
                      <a:off x="0" y="0"/>
                      <a:ext cx="2697480" cy="3597910"/>
                    </a:xfrm>
                    <a:prstGeom prst="rect">
                      <a:avLst/>
                    </a:prstGeom>
                    <a:noFill/>
                    <a:ln w="9525">
                      <a:noFill/>
                      <a:miter lim="800000"/>
                      <a:headEnd/>
                      <a:tailEnd/>
                    </a:ln>
                  </pic:spPr>
                </pic:pic>
              </a:graphicData>
            </a:graphic>
          </wp:anchor>
        </w:drawing>
      </w: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1"/>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实验条件</w:t>
      </w:r>
    </w:p>
    <w:p>
      <w:pPr>
        <w:widowControl/>
        <w:spacing w:line="360" w:lineRule="auto"/>
        <w:ind w:firstLine="480" w:firstLineChars="200"/>
        <w:jc w:val="left"/>
        <w:rPr>
          <w:bCs/>
          <w:color w:val="000000"/>
          <w:sz w:val="24"/>
        </w:rPr>
      </w:pPr>
      <w:r>
        <w:rPr>
          <w:rFonts w:hint="eastAsia"/>
          <w:bCs/>
          <w:color w:val="000000"/>
          <w:sz w:val="24"/>
        </w:rPr>
        <w:t>根据试验所需的温度，调节试样状态温度为23℃，50%湿度并保持24h以上，在室温环境下进行拉拔试验。</w:t>
      </w:r>
    </w:p>
    <w:p>
      <w:pPr>
        <w:widowControl/>
        <w:spacing w:line="360" w:lineRule="auto"/>
        <w:ind w:firstLine="480" w:firstLineChars="200"/>
        <w:jc w:val="left"/>
        <w:rPr>
          <w:bCs/>
          <w:color w:val="000000"/>
          <w:sz w:val="24"/>
        </w:rPr>
      </w:pPr>
      <w:r>
        <w:rPr>
          <w:rFonts w:hint="eastAsia"/>
          <w:bCs/>
          <w:color w:val="000000"/>
          <w:sz w:val="24"/>
        </w:rPr>
        <w:t>将汽车油管或气管产品总成试样安装固定在拉力机的夹具上，并仔细地将其调节对称中心位置，确保受力方向无偏差，以便使试样在横截面上的拉拔力分布均匀。设定拉力试验机拉拔测试速度，拉拔试验速度为50mm/min±5mm/min。</w:t>
      </w:r>
    </w:p>
    <w:p>
      <w:pPr>
        <w:widowControl/>
        <w:spacing w:line="360" w:lineRule="auto"/>
        <w:ind w:firstLine="480" w:firstLineChars="200"/>
        <w:jc w:val="left"/>
        <w:rPr>
          <w:rFonts w:ascii="宋体" w:hAnsi="宋体" w:eastAsia="宋体"/>
          <w:bCs/>
          <w:color w:val="000000"/>
          <w:sz w:val="24"/>
          <w:szCs w:val="24"/>
        </w:rPr>
      </w:pPr>
      <w:r>
        <w:rPr>
          <w:rFonts w:hint="eastAsia"/>
          <w:bCs/>
          <w:color w:val="000000"/>
          <w:sz w:val="24"/>
        </w:rPr>
        <w:t>匀速加载拉力直至油管或气管与非金属管路标准接头连接拉脱或破裂损坏为止，记下最大拉拔力值。</w:t>
      </w:r>
    </w:p>
    <w:p>
      <w:pPr>
        <w:widowControl/>
        <w:spacing w:line="360" w:lineRule="auto"/>
        <w:ind w:firstLine="480" w:firstLineChars="200"/>
        <w:jc w:val="left"/>
        <w:rPr>
          <w:bCs/>
          <w:color w:val="000000"/>
          <w:sz w:val="24"/>
        </w:rPr>
      </w:pPr>
    </w:p>
    <w:p>
      <w:pPr>
        <w:pStyle w:val="21"/>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实验结果与分析</w:t>
      </w:r>
    </w:p>
    <w:p>
      <w:pPr>
        <w:widowControl/>
        <w:spacing w:line="360" w:lineRule="auto"/>
        <w:ind w:firstLine="480" w:firstLineChars="200"/>
        <w:jc w:val="left"/>
        <w:rPr>
          <w:bCs/>
          <w:color w:val="000000"/>
          <w:sz w:val="24"/>
        </w:rPr>
      </w:pPr>
      <w:r>
        <w:rPr>
          <w:rFonts w:hint="eastAsia"/>
          <w:bCs/>
          <w:color w:val="000000"/>
          <w:sz w:val="24"/>
        </w:rPr>
        <w:t>分别对汽车油管总成和气管总成进行3组验证测试。</w:t>
      </w:r>
    </w:p>
    <w:p>
      <w:pPr>
        <w:widowControl/>
        <w:spacing w:line="360" w:lineRule="auto"/>
        <w:jc w:val="center"/>
        <w:rPr>
          <w:b/>
          <w:bCs/>
          <w:color w:val="000000"/>
          <w:sz w:val="24"/>
        </w:rPr>
      </w:pPr>
    </w:p>
    <w:p>
      <w:pPr>
        <w:widowControl/>
        <w:spacing w:line="360" w:lineRule="auto"/>
        <w:jc w:val="center"/>
        <w:rPr>
          <w:b/>
          <w:bCs/>
          <w:color w:val="000000"/>
          <w:sz w:val="24"/>
        </w:rPr>
      </w:pPr>
      <w:r>
        <w:rPr>
          <w:rFonts w:hint="eastAsia"/>
          <w:b/>
          <w:bCs/>
          <w:color w:val="000000"/>
          <w:sz w:val="24"/>
        </w:rPr>
        <w:t>汽车油管总成实验结果如下表：</w:t>
      </w:r>
    </w:p>
    <w:tbl>
      <w:tblPr>
        <w:tblStyle w:val="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76"/>
        <w:gridCol w:w="1276"/>
        <w:gridCol w:w="709"/>
        <w:gridCol w:w="1275"/>
        <w:gridCol w:w="993"/>
        <w:gridCol w:w="127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Align w:val="center"/>
          </w:tcPr>
          <w:p>
            <w:pPr>
              <w:widowControl/>
              <w:spacing w:line="360" w:lineRule="auto"/>
              <w:jc w:val="center"/>
              <w:rPr>
                <w:bCs/>
                <w:color w:val="000000"/>
                <w:sz w:val="24"/>
              </w:rPr>
            </w:pPr>
            <w:r>
              <w:rPr>
                <w:rFonts w:hint="eastAsia"/>
                <w:bCs/>
                <w:color w:val="000000"/>
                <w:sz w:val="24"/>
              </w:rPr>
              <w:t>样品名称</w:t>
            </w:r>
          </w:p>
        </w:tc>
        <w:tc>
          <w:tcPr>
            <w:tcW w:w="1276" w:type="dxa"/>
            <w:vAlign w:val="center"/>
          </w:tcPr>
          <w:p>
            <w:pPr>
              <w:widowControl/>
              <w:spacing w:line="360" w:lineRule="auto"/>
              <w:jc w:val="center"/>
              <w:rPr>
                <w:bCs/>
                <w:color w:val="000000"/>
                <w:sz w:val="24"/>
              </w:rPr>
            </w:pPr>
            <w:r>
              <w:rPr>
                <w:rFonts w:hint="eastAsia"/>
                <w:bCs/>
                <w:color w:val="000000"/>
                <w:sz w:val="24"/>
              </w:rPr>
              <w:t>实验数量</w:t>
            </w:r>
          </w:p>
        </w:tc>
        <w:tc>
          <w:tcPr>
            <w:tcW w:w="1276" w:type="dxa"/>
            <w:vAlign w:val="center"/>
          </w:tcPr>
          <w:p>
            <w:pPr>
              <w:widowControl/>
              <w:spacing w:line="360" w:lineRule="auto"/>
              <w:jc w:val="center"/>
              <w:rPr>
                <w:bCs/>
                <w:color w:val="000000"/>
                <w:sz w:val="24"/>
              </w:rPr>
            </w:pPr>
            <w:r>
              <w:rPr>
                <w:rFonts w:hint="eastAsia"/>
                <w:bCs/>
                <w:color w:val="000000"/>
                <w:sz w:val="24"/>
              </w:rPr>
              <w:t>样品编号</w:t>
            </w:r>
          </w:p>
        </w:tc>
        <w:tc>
          <w:tcPr>
            <w:tcW w:w="709" w:type="dxa"/>
            <w:vAlign w:val="center"/>
          </w:tcPr>
          <w:p>
            <w:pPr>
              <w:widowControl/>
              <w:spacing w:line="360" w:lineRule="auto"/>
              <w:jc w:val="center"/>
              <w:rPr>
                <w:bCs/>
                <w:color w:val="000000"/>
                <w:sz w:val="24"/>
              </w:rPr>
            </w:pPr>
            <w:r>
              <w:rPr>
                <w:rFonts w:hint="eastAsia"/>
                <w:bCs/>
                <w:color w:val="000000"/>
                <w:sz w:val="24"/>
              </w:rPr>
              <w:t>单位</w:t>
            </w:r>
          </w:p>
        </w:tc>
        <w:tc>
          <w:tcPr>
            <w:tcW w:w="1275" w:type="dxa"/>
            <w:vAlign w:val="center"/>
          </w:tcPr>
          <w:p>
            <w:pPr>
              <w:widowControl/>
              <w:spacing w:line="360" w:lineRule="auto"/>
              <w:jc w:val="center"/>
              <w:rPr>
                <w:bCs/>
                <w:color w:val="000000"/>
                <w:sz w:val="24"/>
              </w:rPr>
            </w:pPr>
            <w:r>
              <w:rPr>
                <w:rFonts w:hint="eastAsia"/>
                <w:bCs/>
                <w:color w:val="000000"/>
                <w:sz w:val="24"/>
              </w:rPr>
              <w:t>实验结果</w:t>
            </w:r>
          </w:p>
        </w:tc>
        <w:tc>
          <w:tcPr>
            <w:tcW w:w="993" w:type="dxa"/>
            <w:vAlign w:val="center"/>
          </w:tcPr>
          <w:p>
            <w:pPr>
              <w:widowControl/>
              <w:spacing w:line="360" w:lineRule="auto"/>
              <w:jc w:val="center"/>
              <w:rPr>
                <w:bCs/>
                <w:color w:val="000000"/>
                <w:sz w:val="24"/>
              </w:rPr>
            </w:pPr>
            <w:r>
              <w:rPr>
                <w:rFonts w:hint="eastAsia"/>
                <w:bCs/>
                <w:color w:val="000000"/>
                <w:sz w:val="24"/>
              </w:rPr>
              <w:t>中位值</w:t>
            </w:r>
          </w:p>
        </w:tc>
        <w:tc>
          <w:tcPr>
            <w:tcW w:w="1275" w:type="dxa"/>
            <w:vAlign w:val="center"/>
          </w:tcPr>
          <w:p>
            <w:pPr>
              <w:widowControl/>
              <w:spacing w:line="360" w:lineRule="auto"/>
              <w:jc w:val="center"/>
              <w:rPr>
                <w:bCs/>
                <w:color w:val="000000"/>
                <w:sz w:val="24"/>
              </w:rPr>
            </w:pPr>
            <w:r>
              <w:rPr>
                <w:rFonts w:hint="eastAsia"/>
                <w:bCs/>
                <w:color w:val="000000"/>
                <w:sz w:val="24"/>
              </w:rPr>
              <w:t>判定指标</w:t>
            </w:r>
          </w:p>
        </w:tc>
        <w:tc>
          <w:tcPr>
            <w:tcW w:w="709" w:type="dxa"/>
            <w:vAlign w:val="center"/>
          </w:tcPr>
          <w:p>
            <w:pPr>
              <w:widowControl/>
              <w:spacing w:line="360" w:lineRule="auto"/>
              <w:jc w:val="center"/>
              <w:rPr>
                <w:bCs/>
                <w:color w:val="000000"/>
                <w:sz w:val="24"/>
              </w:rPr>
            </w:pPr>
            <w:r>
              <w:rPr>
                <w:rFonts w:hint="eastAsia"/>
                <w:bCs/>
                <w:color w:val="000000"/>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restart"/>
            <w:vAlign w:val="center"/>
          </w:tcPr>
          <w:p>
            <w:pPr>
              <w:widowControl/>
              <w:spacing w:line="360" w:lineRule="auto"/>
              <w:jc w:val="center"/>
              <w:rPr>
                <w:bCs/>
                <w:color w:val="000000"/>
                <w:sz w:val="24"/>
              </w:rPr>
            </w:pPr>
            <w:r>
              <w:rPr>
                <w:rFonts w:hint="eastAsia"/>
                <w:bCs/>
                <w:color w:val="000000"/>
                <w:sz w:val="24"/>
              </w:rPr>
              <w:t>汽车油管总成</w:t>
            </w:r>
          </w:p>
        </w:tc>
        <w:tc>
          <w:tcPr>
            <w:tcW w:w="1276" w:type="dxa"/>
            <w:vMerge w:val="restart"/>
            <w:vAlign w:val="center"/>
          </w:tcPr>
          <w:p>
            <w:pPr>
              <w:widowControl/>
              <w:spacing w:line="360" w:lineRule="auto"/>
              <w:jc w:val="center"/>
              <w:rPr>
                <w:bCs/>
                <w:color w:val="000000"/>
                <w:sz w:val="24"/>
              </w:rPr>
            </w:pPr>
            <w:r>
              <w:rPr>
                <w:rFonts w:hint="eastAsia"/>
                <w:bCs/>
                <w:color w:val="000000"/>
                <w:sz w:val="24"/>
              </w:rPr>
              <w:t>第1组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864.16</w:t>
            </w:r>
          </w:p>
        </w:tc>
        <w:tc>
          <w:tcPr>
            <w:tcW w:w="993" w:type="dxa"/>
            <w:vMerge w:val="restart"/>
            <w:vAlign w:val="center"/>
          </w:tcPr>
          <w:p>
            <w:pPr>
              <w:jc w:val="center"/>
              <w:rPr>
                <w:bCs/>
                <w:color w:val="000000"/>
                <w:sz w:val="24"/>
              </w:rPr>
            </w:pPr>
            <w:r>
              <w:rPr>
                <w:bCs/>
                <w:color w:val="000000"/>
                <w:sz w:val="24"/>
              </w:rPr>
              <w:t>864.16</w:t>
            </w:r>
          </w:p>
        </w:tc>
        <w:tc>
          <w:tcPr>
            <w:tcW w:w="1275" w:type="dxa"/>
            <w:vMerge w:val="restart"/>
            <w:vAlign w:val="center"/>
          </w:tcPr>
          <w:p>
            <w:pPr>
              <w:widowControl/>
              <w:spacing w:line="360" w:lineRule="auto"/>
              <w:jc w:val="center"/>
              <w:rPr>
                <w:bCs/>
                <w:color w:val="000000"/>
                <w:sz w:val="24"/>
              </w:rPr>
            </w:pPr>
            <w:r>
              <w:rPr>
                <w:rFonts w:hint="eastAsia"/>
                <w:bCs/>
                <w:color w:val="000000"/>
                <w:sz w:val="24"/>
              </w:rPr>
              <w:t>＞450N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869.48</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860.72</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restart"/>
            <w:vAlign w:val="center"/>
          </w:tcPr>
          <w:p>
            <w:pPr>
              <w:widowControl/>
              <w:spacing w:line="360" w:lineRule="auto"/>
              <w:jc w:val="center"/>
              <w:rPr>
                <w:bCs/>
                <w:color w:val="000000"/>
                <w:sz w:val="24"/>
              </w:rPr>
            </w:pPr>
            <w:r>
              <w:rPr>
                <w:rFonts w:hint="eastAsia"/>
                <w:bCs/>
                <w:color w:val="000000"/>
                <w:sz w:val="24"/>
              </w:rPr>
              <w:t>第2组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866.94</w:t>
            </w:r>
          </w:p>
        </w:tc>
        <w:tc>
          <w:tcPr>
            <w:tcW w:w="993" w:type="dxa"/>
            <w:vMerge w:val="restart"/>
            <w:vAlign w:val="center"/>
          </w:tcPr>
          <w:p>
            <w:pPr>
              <w:jc w:val="center"/>
              <w:rPr>
                <w:bCs/>
                <w:color w:val="000000"/>
                <w:sz w:val="24"/>
              </w:rPr>
            </w:pPr>
            <w:r>
              <w:rPr>
                <w:bCs/>
                <w:color w:val="000000"/>
                <w:sz w:val="24"/>
              </w:rPr>
              <w:t>865.49</w:t>
            </w:r>
          </w:p>
        </w:tc>
        <w:tc>
          <w:tcPr>
            <w:tcW w:w="1275" w:type="dxa"/>
            <w:vMerge w:val="restart"/>
            <w:vAlign w:val="center"/>
          </w:tcPr>
          <w:p>
            <w:pPr>
              <w:widowControl/>
              <w:spacing w:line="360" w:lineRule="auto"/>
              <w:jc w:val="center"/>
              <w:rPr>
                <w:bCs/>
                <w:color w:val="000000"/>
                <w:sz w:val="24"/>
              </w:rPr>
            </w:pPr>
            <w:r>
              <w:rPr>
                <w:rFonts w:hint="eastAsia"/>
                <w:bCs/>
                <w:color w:val="000000"/>
                <w:sz w:val="24"/>
              </w:rPr>
              <w:t>＞450N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861.34</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865.49</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restart"/>
            <w:vAlign w:val="center"/>
          </w:tcPr>
          <w:p>
            <w:pPr>
              <w:widowControl/>
              <w:spacing w:line="360" w:lineRule="auto"/>
              <w:jc w:val="center"/>
              <w:rPr>
                <w:bCs/>
                <w:color w:val="000000"/>
                <w:sz w:val="24"/>
              </w:rPr>
            </w:pPr>
            <w:r>
              <w:rPr>
                <w:rFonts w:hint="eastAsia"/>
                <w:bCs/>
                <w:color w:val="000000"/>
                <w:sz w:val="24"/>
              </w:rPr>
              <w:t>第3组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872.11</w:t>
            </w:r>
          </w:p>
        </w:tc>
        <w:tc>
          <w:tcPr>
            <w:tcW w:w="993" w:type="dxa"/>
            <w:vMerge w:val="restart"/>
            <w:vAlign w:val="center"/>
          </w:tcPr>
          <w:p>
            <w:pPr>
              <w:jc w:val="center"/>
              <w:rPr>
                <w:bCs/>
                <w:color w:val="000000"/>
                <w:sz w:val="24"/>
              </w:rPr>
            </w:pPr>
            <w:r>
              <w:rPr>
                <w:bCs/>
                <w:color w:val="000000"/>
                <w:sz w:val="24"/>
              </w:rPr>
              <w:t>867.53</w:t>
            </w:r>
          </w:p>
        </w:tc>
        <w:tc>
          <w:tcPr>
            <w:tcW w:w="1275" w:type="dxa"/>
            <w:vMerge w:val="restart"/>
            <w:vAlign w:val="center"/>
          </w:tcPr>
          <w:p>
            <w:pPr>
              <w:widowControl/>
              <w:spacing w:line="360" w:lineRule="auto"/>
              <w:jc w:val="center"/>
              <w:rPr>
                <w:bCs/>
                <w:color w:val="000000"/>
                <w:sz w:val="24"/>
              </w:rPr>
            </w:pPr>
            <w:r>
              <w:rPr>
                <w:rFonts w:hint="eastAsia"/>
                <w:bCs/>
                <w:color w:val="000000"/>
                <w:sz w:val="24"/>
              </w:rPr>
              <w:t>＞450N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866.91</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jc w:val="center"/>
              <w:rPr>
                <w:bCs/>
                <w:color w:val="000000"/>
                <w:sz w:val="24"/>
              </w:rPr>
            </w:pPr>
            <w:r>
              <w:rPr>
                <w:bCs/>
                <w:color w:val="000000"/>
                <w:sz w:val="24"/>
              </w:rPr>
              <w:t>867.53</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bl>
    <w:p>
      <w:pPr>
        <w:widowControl/>
        <w:spacing w:line="360" w:lineRule="auto"/>
        <w:jc w:val="center"/>
        <w:rPr>
          <w:b/>
          <w:bCs/>
          <w:color w:val="000000"/>
          <w:sz w:val="24"/>
        </w:rPr>
      </w:pPr>
    </w:p>
    <w:p>
      <w:pPr>
        <w:widowControl/>
        <w:spacing w:line="360" w:lineRule="auto"/>
        <w:jc w:val="center"/>
        <w:rPr>
          <w:b/>
          <w:bCs/>
          <w:color w:val="000000"/>
          <w:sz w:val="24"/>
        </w:rPr>
      </w:pPr>
    </w:p>
    <w:p>
      <w:pPr>
        <w:widowControl/>
        <w:spacing w:line="360" w:lineRule="auto"/>
        <w:jc w:val="center"/>
        <w:rPr>
          <w:b/>
          <w:bCs/>
          <w:color w:val="000000"/>
          <w:sz w:val="24"/>
        </w:rPr>
      </w:pPr>
    </w:p>
    <w:p>
      <w:pPr>
        <w:widowControl/>
        <w:spacing w:line="360" w:lineRule="auto"/>
        <w:jc w:val="center"/>
        <w:rPr>
          <w:b/>
          <w:bCs/>
          <w:color w:val="000000"/>
          <w:sz w:val="24"/>
        </w:rPr>
      </w:pPr>
    </w:p>
    <w:p>
      <w:pPr>
        <w:widowControl/>
        <w:spacing w:line="360" w:lineRule="auto"/>
        <w:jc w:val="center"/>
        <w:rPr>
          <w:b/>
          <w:bCs/>
          <w:color w:val="000000"/>
          <w:sz w:val="24"/>
        </w:rPr>
      </w:pPr>
      <w:r>
        <w:rPr>
          <w:rFonts w:hint="eastAsia"/>
          <w:b/>
          <w:bCs/>
          <w:color w:val="000000"/>
          <w:sz w:val="24"/>
        </w:rPr>
        <w:t>汽车气管总成实验结果如下表：</w:t>
      </w:r>
    </w:p>
    <w:tbl>
      <w:tblPr>
        <w:tblStyle w:val="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276"/>
        <w:gridCol w:w="1276"/>
        <w:gridCol w:w="709"/>
        <w:gridCol w:w="1275"/>
        <w:gridCol w:w="993"/>
        <w:gridCol w:w="127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Align w:val="center"/>
          </w:tcPr>
          <w:p>
            <w:pPr>
              <w:widowControl/>
              <w:spacing w:line="360" w:lineRule="auto"/>
              <w:jc w:val="center"/>
              <w:rPr>
                <w:bCs/>
                <w:color w:val="000000"/>
                <w:sz w:val="24"/>
              </w:rPr>
            </w:pPr>
            <w:r>
              <w:rPr>
                <w:rFonts w:hint="eastAsia"/>
                <w:bCs/>
                <w:color w:val="000000"/>
                <w:sz w:val="24"/>
              </w:rPr>
              <w:t>样品名称</w:t>
            </w:r>
          </w:p>
        </w:tc>
        <w:tc>
          <w:tcPr>
            <w:tcW w:w="1276" w:type="dxa"/>
            <w:vAlign w:val="center"/>
          </w:tcPr>
          <w:p>
            <w:pPr>
              <w:widowControl/>
              <w:spacing w:line="360" w:lineRule="auto"/>
              <w:jc w:val="center"/>
              <w:rPr>
                <w:bCs/>
                <w:color w:val="000000"/>
                <w:sz w:val="24"/>
              </w:rPr>
            </w:pPr>
            <w:r>
              <w:rPr>
                <w:rFonts w:hint="eastAsia"/>
                <w:bCs/>
                <w:color w:val="000000"/>
                <w:sz w:val="24"/>
              </w:rPr>
              <w:t>实验数量</w:t>
            </w:r>
          </w:p>
        </w:tc>
        <w:tc>
          <w:tcPr>
            <w:tcW w:w="1276" w:type="dxa"/>
            <w:vAlign w:val="center"/>
          </w:tcPr>
          <w:p>
            <w:pPr>
              <w:widowControl/>
              <w:spacing w:line="360" w:lineRule="auto"/>
              <w:jc w:val="center"/>
              <w:rPr>
                <w:bCs/>
                <w:color w:val="000000"/>
                <w:sz w:val="24"/>
              </w:rPr>
            </w:pPr>
            <w:r>
              <w:rPr>
                <w:rFonts w:hint="eastAsia"/>
                <w:bCs/>
                <w:color w:val="000000"/>
                <w:sz w:val="24"/>
              </w:rPr>
              <w:t>样品编号</w:t>
            </w:r>
          </w:p>
        </w:tc>
        <w:tc>
          <w:tcPr>
            <w:tcW w:w="709" w:type="dxa"/>
            <w:vAlign w:val="center"/>
          </w:tcPr>
          <w:p>
            <w:pPr>
              <w:widowControl/>
              <w:spacing w:line="360" w:lineRule="auto"/>
              <w:jc w:val="center"/>
              <w:rPr>
                <w:bCs/>
                <w:color w:val="000000"/>
                <w:sz w:val="24"/>
              </w:rPr>
            </w:pPr>
            <w:r>
              <w:rPr>
                <w:rFonts w:hint="eastAsia"/>
                <w:bCs/>
                <w:color w:val="000000"/>
                <w:sz w:val="24"/>
              </w:rPr>
              <w:t>单位</w:t>
            </w:r>
          </w:p>
        </w:tc>
        <w:tc>
          <w:tcPr>
            <w:tcW w:w="1275" w:type="dxa"/>
            <w:vAlign w:val="center"/>
          </w:tcPr>
          <w:p>
            <w:pPr>
              <w:widowControl/>
              <w:spacing w:line="360" w:lineRule="auto"/>
              <w:jc w:val="center"/>
              <w:rPr>
                <w:bCs/>
                <w:color w:val="000000"/>
                <w:sz w:val="24"/>
              </w:rPr>
            </w:pPr>
            <w:r>
              <w:rPr>
                <w:rFonts w:hint="eastAsia"/>
                <w:bCs/>
                <w:color w:val="000000"/>
                <w:sz w:val="24"/>
              </w:rPr>
              <w:t>实验结果</w:t>
            </w:r>
          </w:p>
        </w:tc>
        <w:tc>
          <w:tcPr>
            <w:tcW w:w="993" w:type="dxa"/>
            <w:vAlign w:val="center"/>
          </w:tcPr>
          <w:p>
            <w:pPr>
              <w:widowControl/>
              <w:spacing w:line="360" w:lineRule="auto"/>
              <w:jc w:val="center"/>
              <w:rPr>
                <w:bCs/>
                <w:color w:val="000000"/>
                <w:sz w:val="24"/>
              </w:rPr>
            </w:pPr>
            <w:r>
              <w:rPr>
                <w:rFonts w:hint="eastAsia"/>
                <w:bCs/>
                <w:color w:val="000000"/>
                <w:sz w:val="24"/>
              </w:rPr>
              <w:t>中位值</w:t>
            </w:r>
          </w:p>
        </w:tc>
        <w:tc>
          <w:tcPr>
            <w:tcW w:w="1275" w:type="dxa"/>
            <w:vAlign w:val="center"/>
          </w:tcPr>
          <w:p>
            <w:pPr>
              <w:widowControl/>
              <w:spacing w:line="360" w:lineRule="auto"/>
              <w:jc w:val="center"/>
              <w:rPr>
                <w:bCs/>
                <w:color w:val="000000"/>
                <w:sz w:val="24"/>
              </w:rPr>
            </w:pPr>
            <w:r>
              <w:rPr>
                <w:rFonts w:hint="eastAsia"/>
                <w:bCs/>
                <w:color w:val="000000"/>
                <w:sz w:val="24"/>
              </w:rPr>
              <w:t>判定指标</w:t>
            </w:r>
          </w:p>
        </w:tc>
        <w:tc>
          <w:tcPr>
            <w:tcW w:w="709" w:type="dxa"/>
            <w:vAlign w:val="center"/>
          </w:tcPr>
          <w:p>
            <w:pPr>
              <w:widowControl/>
              <w:spacing w:line="360" w:lineRule="auto"/>
              <w:jc w:val="center"/>
              <w:rPr>
                <w:bCs/>
                <w:color w:val="000000"/>
                <w:sz w:val="24"/>
              </w:rPr>
            </w:pPr>
            <w:r>
              <w:rPr>
                <w:rFonts w:hint="eastAsia"/>
                <w:bCs/>
                <w:color w:val="000000"/>
                <w:sz w:val="24"/>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restart"/>
            <w:vAlign w:val="center"/>
          </w:tcPr>
          <w:p>
            <w:pPr>
              <w:widowControl/>
              <w:spacing w:line="360" w:lineRule="auto"/>
              <w:jc w:val="center"/>
              <w:rPr>
                <w:bCs/>
                <w:color w:val="000000"/>
                <w:sz w:val="24"/>
              </w:rPr>
            </w:pPr>
            <w:r>
              <w:rPr>
                <w:rFonts w:hint="eastAsia"/>
                <w:bCs/>
                <w:color w:val="000000"/>
                <w:sz w:val="24"/>
              </w:rPr>
              <w:t>汽车气管总成</w:t>
            </w:r>
          </w:p>
        </w:tc>
        <w:tc>
          <w:tcPr>
            <w:tcW w:w="1276" w:type="dxa"/>
            <w:vMerge w:val="restart"/>
            <w:vAlign w:val="center"/>
          </w:tcPr>
          <w:p>
            <w:pPr>
              <w:widowControl/>
              <w:spacing w:line="360" w:lineRule="auto"/>
              <w:jc w:val="center"/>
              <w:rPr>
                <w:bCs/>
                <w:color w:val="000000"/>
                <w:sz w:val="24"/>
              </w:rPr>
            </w:pPr>
            <w:r>
              <w:rPr>
                <w:rFonts w:hint="eastAsia"/>
                <w:bCs/>
                <w:color w:val="000000"/>
                <w:sz w:val="24"/>
              </w:rPr>
              <w:t>第1组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437.08</w:t>
            </w:r>
          </w:p>
        </w:tc>
        <w:tc>
          <w:tcPr>
            <w:tcW w:w="993" w:type="dxa"/>
            <w:vMerge w:val="restart"/>
            <w:vAlign w:val="center"/>
          </w:tcPr>
          <w:p>
            <w:pPr>
              <w:widowControl/>
              <w:spacing w:line="360" w:lineRule="auto"/>
              <w:jc w:val="center"/>
              <w:rPr>
                <w:bCs/>
                <w:color w:val="000000"/>
                <w:sz w:val="24"/>
              </w:rPr>
            </w:pPr>
            <w:r>
              <w:rPr>
                <w:bCs/>
                <w:color w:val="000000"/>
                <w:sz w:val="24"/>
              </w:rPr>
              <w:t>437.08</w:t>
            </w:r>
          </w:p>
        </w:tc>
        <w:tc>
          <w:tcPr>
            <w:tcW w:w="1275" w:type="dxa"/>
            <w:vMerge w:val="restart"/>
            <w:vAlign w:val="center"/>
          </w:tcPr>
          <w:p>
            <w:pPr>
              <w:widowControl/>
              <w:spacing w:line="360" w:lineRule="auto"/>
              <w:jc w:val="center"/>
              <w:rPr>
                <w:bCs/>
                <w:color w:val="000000"/>
                <w:sz w:val="24"/>
              </w:rPr>
            </w:pPr>
            <w:r>
              <w:rPr>
                <w:rFonts w:hint="eastAsia"/>
                <w:bCs/>
                <w:color w:val="000000"/>
                <w:sz w:val="24"/>
              </w:rPr>
              <w:t>＞222N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440.21</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434.41</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restart"/>
            <w:vAlign w:val="center"/>
          </w:tcPr>
          <w:p>
            <w:pPr>
              <w:widowControl/>
              <w:spacing w:line="360" w:lineRule="auto"/>
              <w:jc w:val="center"/>
              <w:rPr>
                <w:bCs/>
                <w:color w:val="000000"/>
                <w:sz w:val="24"/>
              </w:rPr>
            </w:pPr>
            <w:r>
              <w:rPr>
                <w:rFonts w:hint="eastAsia"/>
                <w:bCs/>
                <w:color w:val="000000"/>
                <w:sz w:val="24"/>
              </w:rPr>
              <w:t>第2组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429.91</w:t>
            </w:r>
          </w:p>
        </w:tc>
        <w:tc>
          <w:tcPr>
            <w:tcW w:w="993" w:type="dxa"/>
            <w:vMerge w:val="restart"/>
            <w:vAlign w:val="center"/>
          </w:tcPr>
          <w:p>
            <w:pPr>
              <w:widowControl/>
              <w:spacing w:line="360" w:lineRule="auto"/>
              <w:jc w:val="center"/>
              <w:rPr>
                <w:bCs/>
                <w:color w:val="000000"/>
                <w:sz w:val="24"/>
              </w:rPr>
            </w:pPr>
            <w:r>
              <w:rPr>
                <w:bCs/>
                <w:color w:val="000000"/>
                <w:sz w:val="24"/>
              </w:rPr>
              <w:t>434.69</w:t>
            </w:r>
          </w:p>
        </w:tc>
        <w:tc>
          <w:tcPr>
            <w:tcW w:w="1275" w:type="dxa"/>
            <w:vMerge w:val="restart"/>
            <w:vAlign w:val="center"/>
          </w:tcPr>
          <w:p>
            <w:pPr>
              <w:widowControl/>
              <w:spacing w:line="360" w:lineRule="auto"/>
              <w:jc w:val="center"/>
              <w:rPr>
                <w:bCs/>
                <w:color w:val="000000"/>
                <w:sz w:val="24"/>
              </w:rPr>
            </w:pPr>
            <w:r>
              <w:rPr>
                <w:rFonts w:hint="eastAsia"/>
                <w:bCs/>
                <w:color w:val="000000"/>
                <w:sz w:val="24"/>
              </w:rPr>
              <w:t>＞222N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435.46</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434.69</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restart"/>
            <w:vAlign w:val="center"/>
          </w:tcPr>
          <w:p>
            <w:pPr>
              <w:widowControl/>
              <w:spacing w:line="360" w:lineRule="auto"/>
              <w:jc w:val="center"/>
              <w:rPr>
                <w:bCs/>
                <w:color w:val="000000"/>
                <w:sz w:val="24"/>
              </w:rPr>
            </w:pPr>
            <w:r>
              <w:rPr>
                <w:rFonts w:hint="eastAsia"/>
                <w:bCs/>
                <w:color w:val="000000"/>
                <w:sz w:val="24"/>
              </w:rPr>
              <w:t>第3组</w:t>
            </w:r>
          </w:p>
        </w:tc>
        <w:tc>
          <w:tcPr>
            <w:tcW w:w="1276" w:type="dxa"/>
            <w:vAlign w:val="center"/>
          </w:tcPr>
          <w:p>
            <w:pPr>
              <w:widowControl/>
              <w:spacing w:line="360" w:lineRule="auto"/>
              <w:jc w:val="center"/>
              <w:rPr>
                <w:bCs/>
                <w:color w:val="000000"/>
                <w:sz w:val="24"/>
              </w:rPr>
            </w:pPr>
            <w:r>
              <w:rPr>
                <w:rFonts w:hint="eastAsia"/>
                <w:bCs/>
                <w:color w:val="000000"/>
                <w:sz w:val="24"/>
              </w:rPr>
              <w:t>1#</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439.54</w:t>
            </w:r>
          </w:p>
        </w:tc>
        <w:tc>
          <w:tcPr>
            <w:tcW w:w="993" w:type="dxa"/>
            <w:vMerge w:val="restart"/>
            <w:vAlign w:val="center"/>
          </w:tcPr>
          <w:p>
            <w:pPr>
              <w:widowControl/>
              <w:spacing w:line="360" w:lineRule="auto"/>
              <w:jc w:val="center"/>
              <w:rPr>
                <w:bCs/>
                <w:color w:val="000000"/>
                <w:sz w:val="24"/>
              </w:rPr>
            </w:pPr>
            <w:r>
              <w:rPr>
                <w:bCs/>
                <w:color w:val="000000"/>
                <w:sz w:val="24"/>
              </w:rPr>
              <w:t>436.67</w:t>
            </w:r>
          </w:p>
        </w:tc>
        <w:tc>
          <w:tcPr>
            <w:tcW w:w="1275" w:type="dxa"/>
            <w:vMerge w:val="restart"/>
            <w:vAlign w:val="center"/>
          </w:tcPr>
          <w:p>
            <w:pPr>
              <w:widowControl/>
              <w:spacing w:line="360" w:lineRule="auto"/>
              <w:jc w:val="center"/>
              <w:rPr>
                <w:bCs/>
                <w:color w:val="000000"/>
                <w:sz w:val="24"/>
              </w:rPr>
            </w:pPr>
            <w:r>
              <w:rPr>
                <w:rFonts w:hint="eastAsia"/>
                <w:bCs/>
                <w:color w:val="000000"/>
                <w:sz w:val="24"/>
              </w:rPr>
              <w:t>＞222N</w:t>
            </w:r>
          </w:p>
        </w:tc>
        <w:tc>
          <w:tcPr>
            <w:tcW w:w="709" w:type="dxa"/>
            <w:vMerge w:val="restart"/>
            <w:vAlign w:val="center"/>
          </w:tcPr>
          <w:p>
            <w:pPr>
              <w:widowControl/>
              <w:spacing w:line="360" w:lineRule="auto"/>
              <w:jc w:val="center"/>
              <w:rPr>
                <w:bCs/>
                <w:color w:val="000000"/>
                <w:sz w:val="24"/>
              </w:rPr>
            </w:pPr>
            <w:r>
              <w:rPr>
                <w:rFonts w:hint="eastAsia"/>
                <w:bCs/>
                <w:color w:val="000000"/>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2#</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432.16</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vMerge w:val="continue"/>
            <w:vAlign w:val="center"/>
          </w:tcPr>
          <w:p>
            <w:pPr>
              <w:widowControl/>
              <w:spacing w:line="360" w:lineRule="auto"/>
              <w:jc w:val="center"/>
              <w:rPr>
                <w:bCs/>
                <w:color w:val="000000"/>
                <w:sz w:val="24"/>
              </w:rPr>
            </w:pPr>
          </w:p>
        </w:tc>
        <w:tc>
          <w:tcPr>
            <w:tcW w:w="1276" w:type="dxa"/>
            <w:vMerge w:val="continue"/>
            <w:vAlign w:val="center"/>
          </w:tcPr>
          <w:p>
            <w:pPr>
              <w:widowControl/>
              <w:spacing w:line="360" w:lineRule="auto"/>
              <w:jc w:val="center"/>
              <w:rPr>
                <w:bCs/>
                <w:color w:val="000000"/>
                <w:sz w:val="24"/>
              </w:rPr>
            </w:pPr>
          </w:p>
        </w:tc>
        <w:tc>
          <w:tcPr>
            <w:tcW w:w="1276" w:type="dxa"/>
            <w:vAlign w:val="center"/>
          </w:tcPr>
          <w:p>
            <w:pPr>
              <w:widowControl/>
              <w:spacing w:line="360" w:lineRule="auto"/>
              <w:jc w:val="center"/>
              <w:rPr>
                <w:bCs/>
                <w:color w:val="000000"/>
                <w:sz w:val="24"/>
              </w:rPr>
            </w:pPr>
            <w:r>
              <w:rPr>
                <w:rFonts w:hint="eastAsia"/>
                <w:bCs/>
                <w:color w:val="000000"/>
                <w:sz w:val="24"/>
              </w:rPr>
              <w:t>3#</w:t>
            </w:r>
          </w:p>
        </w:tc>
        <w:tc>
          <w:tcPr>
            <w:tcW w:w="709" w:type="dxa"/>
            <w:vAlign w:val="center"/>
          </w:tcPr>
          <w:p>
            <w:pPr>
              <w:widowControl/>
              <w:spacing w:line="360" w:lineRule="auto"/>
              <w:jc w:val="center"/>
              <w:rPr>
                <w:bCs/>
                <w:color w:val="000000"/>
                <w:sz w:val="24"/>
              </w:rPr>
            </w:pPr>
            <w:r>
              <w:rPr>
                <w:rFonts w:hint="eastAsia"/>
                <w:bCs/>
                <w:color w:val="000000"/>
                <w:sz w:val="24"/>
              </w:rPr>
              <w:t>N</w:t>
            </w:r>
          </w:p>
        </w:tc>
        <w:tc>
          <w:tcPr>
            <w:tcW w:w="1275" w:type="dxa"/>
            <w:vAlign w:val="center"/>
          </w:tcPr>
          <w:p>
            <w:pPr>
              <w:widowControl/>
              <w:spacing w:line="360" w:lineRule="auto"/>
              <w:jc w:val="center"/>
              <w:rPr>
                <w:bCs/>
                <w:color w:val="000000"/>
                <w:sz w:val="24"/>
              </w:rPr>
            </w:pPr>
            <w:r>
              <w:rPr>
                <w:bCs/>
                <w:color w:val="000000"/>
                <w:sz w:val="24"/>
              </w:rPr>
              <w:t>436.67</w:t>
            </w:r>
          </w:p>
        </w:tc>
        <w:tc>
          <w:tcPr>
            <w:tcW w:w="993" w:type="dxa"/>
            <w:vMerge w:val="continue"/>
            <w:vAlign w:val="center"/>
          </w:tcPr>
          <w:p>
            <w:pPr>
              <w:widowControl/>
              <w:spacing w:line="360" w:lineRule="auto"/>
              <w:jc w:val="center"/>
              <w:rPr>
                <w:bCs/>
                <w:color w:val="000000"/>
                <w:sz w:val="24"/>
              </w:rPr>
            </w:pPr>
          </w:p>
        </w:tc>
        <w:tc>
          <w:tcPr>
            <w:tcW w:w="1275" w:type="dxa"/>
            <w:vMerge w:val="continue"/>
            <w:vAlign w:val="center"/>
          </w:tcPr>
          <w:p>
            <w:pPr>
              <w:widowControl/>
              <w:spacing w:line="360" w:lineRule="auto"/>
              <w:jc w:val="center"/>
              <w:rPr>
                <w:bCs/>
                <w:color w:val="000000"/>
                <w:sz w:val="24"/>
              </w:rPr>
            </w:pPr>
          </w:p>
        </w:tc>
        <w:tc>
          <w:tcPr>
            <w:tcW w:w="709" w:type="dxa"/>
            <w:vMerge w:val="continue"/>
            <w:vAlign w:val="center"/>
          </w:tcPr>
          <w:p>
            <w:pPr>
              <w:widowControl/>
              <w:spacing w:line="360" w:lineRule="auto"/>
              <w:jc w:val="center"/>
              <w:rPr>
                <w:bCs/>
                <w:color w:val="000000"/>
                <w:sz w:val="24"/>
              </w:rPr>
            </w:pPr>
          </w:p>
        </w:tc>
      </w:tr>
    </w:tbl>
    <w:p>
      <w:pPr>
        <w:widowControl/>
        <w:spacing w:line="360" w:lineRule="auto"/>
        <w:ind w:firstLine="480" w:firstLineChars="200"/>
        <w:jc w:val="left"/>
        <w:rPr>
          <w:bCs/>
          <w:color w:val="000000"/>
          <w:sz w:val="24"/>
        </w:rPr>
      </w:pPr>
    </w:p>
    <w:p>
      <w:pPr>
        <w:widowControl/>
        <w:spacing w:line="360" w:lineRule="auto"/>
        <w:jc w:val="left"/>
        <w:rPr>
          <w:bCs/>
          <w:color w:val="000000"/>
          <w:sz w:val="24"/>
        </w:rPr>
      </w:pPr>
      <w:r>
        <w:rPr>
          <w:rFonts w:hint="eastAsia" w:ascii="Times New Roman" w:hAnsi="Times New Roman"/>
          <w:b/>
          <w:sz w:val="24"/>
          <w:szCs w:val="24"/>
        </w:rPr>
        <w:t>结论：</w:t>
      </w:r>
    </w:p>
    <w:p>
      <w:pPr>
        <w:autoSpaceDE w:val="0"/>
        <w:autoSpaceDN w:val="0"/>
        <w:adjustRightIn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上述试验方法为湖北中检检测有限公司实验室所制定作业指导书。</w:t>
      </w:r>
      <w:r>
        <w:rPr>
          <w:rFonts w:ascii="Times New Roman" w:hAnsi="Times New Roman"/>
          <w:sz w:val="24"/>
          <w:szCs w:val="24"/>
        </w:rPr>
        <w:t>汽车用油管和气管与非金属管路标准接头连接后，</w:t>
      </w:r>
      <w:r>
        <w:rPr>
          <w:rFonts w:hint="eastAsia" w:ascii="Times New Roman" w:hAnsi="Times New Roman"/>
          <w:sz w:val="24"/>
          <w:szCs w:val="24"/>
        </w:rPr>
        <w:t>在室温</w:t>
      </w:r>
      <w:r>
        <w:rPr>
          <w:rFonts w:ascii="Times New Roman" w:hAnsi="Times New Roman"/>
          <w:sz w:val="24"/>
          <w:szCs w:val="24"/>
        </w:rPr>
        <w:t>环境下进行汽车油管和气管与非金属管路标准接头的</w:t>
      </w:r>
      <w:r>
        <w:rPr>
          <w:rFonts w:hint="eastAsia" w:ascii="Times New Roman" w:hAnsi="Times New Roman"/>
          <w:sz w:val="24"/>
          <w:szCs w:val="24"/>
        </w:rPr>
        <w:t>室</w:t>
      </w:r>
      <w:r>
        <w:rPr>
          <w:rFonts w:ascii="Times New Roman" w:hAnsi="Times New Roman"/>
          <w:sz w:val="24"/>
          <w:szCs w:val="24"/>
        </w:rPr>
        <w:t>温拉拔试验。然而对实验系统进行了充分的验证，对实验样品进行了安全可靠的有效考核。并分别对汽车油管总成和气管总成进行了验证测试，共测试样品18件，其中汽车油管总成做了3组（9件）测试分析，汽车气管总成做了3组（9件）测试分析。通过上述试验数据比对分析，试验结果达到标准要求和预期指标，试验结果重现性非常好。</w:t>
      </w:r>
    </w:p>
    <w:p>
      <w:pPr>
        <w:pStyle w:val="21"/>
        <w:spacing w:line="360" w:lineRule="auto"/>
        <w:ind w:firstLine="480" w:firstLineChars="200"/>
        <w:jc w:val="both"/>
        <w:rPr>
          <w:rFonts w:ascii="Calibri" w:hAnsi="Calibri" w:eastAsia="宋体" w:cs="Times New Roman"/>
          <w:bCs/>
          <w:color w:val="000000"/>
          <w:kern w:val="2"/>
          <w:sz w:val="24"/>
          <w:lang w:val="en-US" w:bidi="ar-SA"/>
        </w:rPr>
      </w:pPr>
      <w:r>
        <w:rPr>
          <w:rFonts w:hint="eastAsia" w:ascii="Calibri" w:hAnsi="Calibri" w:eastAsia="宋体" w:cs="Times New Roman"/>
          <w:bCs/>
          <w:color w:val="000000"/>
          <w:kern w:val="2"/>
          <w:sz w:val="24"/>
          <w:lang w:val="en-US" w:bidi="ar-SA"/>
        </w:rPr>
        <w:t>与武汉品荐检测科技有限公司、武汉武测检测技术有限公司、武汉海关技术中心等三家外部单位协作验证的</w:t>
      </w:r>
      <w:r>
        <w:rPr>
          <w:rFonts w:ascii="Calibri" w:hAnsi="Calibri" w:eastAsia="宋体" w:cs="Times New Roman"/>
          <w:bCs/>
          <w:color w:val="000000"/>
          <w:kern w:val="2"/>
          <w:sz w:val="24"/>
          <w:lang w:val="en-US" w:bidi="ar-SA"/>
        </w:rPr>
        <w:t>试验数据比对分析</w:t>
      </w:r>
      <w:r>
        <w:rPr>
          <w:rFonts w:hint="eastAsia" w:ascii="Calibri" w:hAnsi="Calibri" w:eastAsia="宋体" w:cs="Times New Roman"/>
          <w:bCs/>
          <w:color w:val="000000"/>
          <w:kern w:val="2"/>
          <w:sz w:val="24"/>
          <w:lang w:val="en-US" w:bidi="ar-SA"/>
        </w:rPr>
        <w:t>，</w:t>
      </w:r>
      <w:r>
        <w:rPr>
          <w:rFonts w:ascii="Calibri" w:hAnsi="Calibri" w:eastAsia="宋体" w:cs="Times New Roman"/>
          <w:bCs/>
          <w:color w:val="000000"/>
          <w:kern w:val="2"/>
          <w:sz w:val="24"/>
          <w:lang w:val="en-US" w:bidi="ar-SA"/>
        </w:rPr>
        <w:t>试验结果重现性非常好。</w:t>
      </w:r>
    </w:p>
    <w:p>
      <w:pPr>
        <w:pStyle w:val="14"/>
        <w:spacing w:line="360" w:lineRule="auto"/>
        <w:ind w:firstLine="480"/>
        <w:rPr>
          <w:rFonts w:ascii="Times New Roman" w:hAnsi="Times New Roman"/>
          <w:sz w:val="24"/>
          <w:szCs w:val="24"/>
        </w:rPr>
      </w:pPr>
    </w:p>
    <w:p>
      <w:pPr>
        <w:pStyle w:val="14"/>
        <w:numPr>
          <w:ilvl w:val="0"/>
          <w:numId w:val="2"/>
        </w:numPr>
        <w:spacing w:line="360" w:lineRule="auto"/>
        <w:ind w:firstLineChars="0"/>
        <w:rPr>
          <w:rFonts w:ascii="Times New Roman" w:hAnsi="Times New Roman"/>
          <w:b/>
          <w:sz w:val="24"/>
          <w:szCs w:val="24"/>
        </w:rPr>
      </w:pPr>
      <w:r>
        <w:rPr>
          <w:rFonts w:hint="eastAsia" w:ascii="Times New Roman" w:hAnsi="Times New Roman"/>
          <w:b/>
          <w:sz w:val="24"/>
          <w:szCs w:val="24"/>
        </w:rPr>
        <w:t>与国际、国外同类标准水平的对比情况</w:t>
      </w:r>
    </w:p>
    <w:p>
      <w:pPr>
        <w:pStyle w:val="14"/>
        <w:spacing w:line="360" w:lineRule="auto"/>
        <w:ind w:firstLine="480"/>
        <w:rPr>
          <w:rFonts w:ascii="Times New Roman" w:hAnsi="Times New Roman"/>
          <w:sz w:val="24"/>
          <w:szCs w:val="24"/>
        </w:rPr>
      </w:pPr>
      <w:r>
        <w:rPr>
          <w:rFonts w:hint="eastAsia" w:ascii="Verdana" w:hAnsi="Verdana" w:eastAsia="宋体" w:cs="宋体"/>
          <w:color w:val="000000"/>
          <w:kern w:val="0"/>
          <w:sz w:val="24"/>
          <w:szCs w:val="24"/>
        </w:rPr>
        <w:t>国内</w:t>
      </w:r>
      <w:r>
        <w:rPr>
          <w:rFonts w:hint="eastAsia" w:ascii="Times New Roman" w:hAnsi="Times New Roman"/>
          <w:sz w:val="24"/>
          <w:szCs w:val="24"/>
        </w:rPr>
        <w:t>无相关与</w:t>
      </w:r>
      <w:r>
        <w:rPr>
          <w:rFonts w:hint="eastAsia" w:ascii="Verdana" w:hAnsi="Verdana" w:eastAsia="宋体" w:cs="宋体"/>
          <w:color w:val="000000"/>
          <w:kern w:val="0"/>
          <w:sz w:val="24"/>
          <w:szCs w:val="24"/>
        </w:rPr>
        <w:t>本项目</w:t>
      </w:r>
      <w:r>
        <w:rPr>
          <w:rFonts w:hint="eastAsia" w:ascii="Times New Roman" w:hAnsi="Times New Roman"/>
          <w:sz w:val="24"/>
          <w:szCs w:val="24"/>
        </w:rPr>
        <w:t>室温拉拔试验方法类似标准，本项目试验技术条件参照了《</w:t>
      </w:r>
      <w:r>
        <w:rPr>
          <w:rFonts w:hint="eastAsia"/>
          <w:bCs/>
          <w:color w:val="000000"/>
          <w:sz w:val="24"/>
        </w:rPr>
        <w:t>SAE J2045-2012 燃油系统管路总成性能要求</w:t>
      </w:r>
      <w:r>
        <w:rPr>
          <w:rFonts w:hint="eastAsia" w:ascii="Times New Roman" w:hAnsi="Times New Roman"/>
          <w:sz w:val="24"/>
          <w:szCs w:val="24"/>
        </w:rPr>
        <w:t>》产品标准的4.2章节条款室温和高温要求，但</w:t>
      </w:r>
      <w:r>
        <w:rPr>
          <w:rFonts w:hint="eastAsia" w:ascii="Verdana" w:hAnsi="Verdana" w:eastAsia="宋体" w:cs="宋体"/>
          <w:color w:val="000000"/>
          <w:kern w:val="0"/>
          <w:sz w:val="24"/>
          <w:szCs w:val="24"/>
        </w:rPr>
        <w:t>与国外</w:t>
      </w:r>
      <w:r>
        <w:rPr>
          <w:rFonts w:hint="eastAsia" w:ascii="Times New Roman" w:hAnsi="Times New Roman"/>
          <w:sz w:val="24"/>
          <w:szCs w:val="24"/>
        </w:rPr>
        <w:t>《</w:t>
      </w:r>
      <w:r>
        <w:rPr>
          <w:rFonts w:hint="eastAsia"/>
          <w:bCs/>
          <w:color w:val="000000"/>
          <w:sz w:val="24"/>
        </w:rPr>
        <w:t>SAE J2045-2012 燃油系统管路总成性能要求</w:t>
      </w:r>
      <w:r>
        <w:rPr>
          <w:rFonts w:hint="eastAsia" w:ascii="Times New Roman" w:hAnsi="Times New Roman"/>
          <w:sz w:val="24"/>
          <w:szCs w:val="24"/>
        </w:rPr>
        <w:t>》相比，本标准更清晰、更明确的介绍了</w:t>
      </w:r>
      <w:r>
        <w:rPr>
          <w:rFonts w:hint="eastAsia"/>
          <w:bCs/>
          <w:sz w:val="24"/>
          <w:szCs w:val="24"/>
        </w:rPr>
        <w:t>汽车用油气管与非金属管路标准接头的室温拉拔试验方法的实验操作步骤，包括设备选择、工装夹具合理选择、试样要求、试验参数要求、试验结果的处理等。而国外标准很简单、很含糊、有些地方不明确，导致试验操作流程无法确定，测试参数各式各样。如很关键的一个参数没有明确：试样状态的调节等。通过实验分析出试样处理时间长短直接影响到测试的结果。</w:t>
      </w:r>
      <w:r>
        <w:rPr>
          <w:rFonts w:hint="eastAsia" w:ascii="Times New Roman" w:hAnsi="Times New Roman"/>
          <w:sz w:val="24"/>
          <w:szCs w:val="24"/>
        </w:rPr>
        <w:t>本标准试验方法通过国内相接近常温标</w:t>
      </w:r>
      <w:r>
        <w:rPr>
          <w:rFonts w:hint="eastAsia"/>
          <w:bCs/>
          <w:sz w:val="24"/>
          <w:szCs w:val="24"/>
        </w:rPr>
        <w:t>准（GB/T 15820 聚乙烯压力管材与管件连接的耐拉拔试验）和国外室温标准（SAE J2045 燃油系统管路总成性能要求）进</w:t>
      </w:r>
      <w:r>
        <w:rPr>
          <w:rFonts w:hint="eastAsia" w:ascii="Times New Roman" w:hAnsi="Times New Roman"/>
          <w:sz w:val="24"/>
          <w:szCs w:val="24"/>
        </w:rPr>
        <w:t>行结合，通过多方面试验验证与分析</w:t>
      </w:r>
      <w:r>
        <w:rPr>
          <w:rFonts w:hint="eastAsia"/>
          <w:bCs/>
          <w:sz w:val="24"/>
          <w:szCs w:val="24"/>
        </w:rPr>
        <w:t>，</w:t>
      </w:r>
      <w:r>
        <w:rPr>
          <w:bCs/>
          <w:sz w:val="24"/>
          <w:szCs w:val="24"/>
        </w:rPr>
        <w:t>最终形成一套准确、可靠、实用性强的汽车用油气管与非金属管路标准接头的</w:t>
      </w:r>
      <w:r>
        <w:rPr>
          <w:rFonts w:hint="eastAsia"/>
          <w:bCs/>
          <w:sz w:val="24"/>
          <w:szCs w:val="24"/>
        </w:rPr>
        <w:t>室</w:t>
      </w:r>
      <w:r>
        <w:rPr>
          <w:bCs/>
          <w:sz w:val="24"/>
          <w:szCs w:val="24"/>
        </w:rPr>
        <w:t>温拉拔试验方法。</w:t>
      </w:r>
    </w:p>
    <w:p>
      <w:pPr>
        <w:pStyle w:val="14"/>
        <w:spacing w:line="360" w:lineRule="auto"/>
        <w:ind w:firstLine="482"/>
        <w:rPr>
          <w:rFonts w:ascii="Verdana" w:hAnsi="Verdana" w:eastAsia="宋体" w:cs="宋体"/>
          <w:b/>
          <w:color w:val="000000"/>
          <w:kern w:val="0"/>
          <w:sz w:val="24"/>
          <w:szCs w:val="24"/>
        </w:rPr>
      </w:pPr>
    </w:p>
    <w:p>
      <w:pPr>
        <w:pStyle w:val="14"/>
        <w:spacing w:line="360" w:lineRule="auto"/>
        <w:ind w:firstLine="482"/>
        <w:rPr>
          <w:rFonts w:ascii="Verdana" w:hAnsi="Verdana" w:eastAsia="宋体" w:cs="宋体"/>
          <w:b/>
          <w:color w:val="000000"/>
          <w:kern w:val="0"/>
          <w:sz w:val="24"/>
          <w:szCs w:val="24"/>
        </w:rPr>
      </w:pPr>
      <w:r>
        <w:rPr>
          <w:rFonts w:hint="eastAsia" w:ascii="Verdana" w:hAnsi="Verdana" w:eastAsia="宋体" w:cs="宋体"/>
          <w:b/>
          <w:color w:val="000000"/>
          <w:kern w:val="0"/>
          <w:sz w:val="24"/>
          <w:szCs w:val="24"/>
        </w:rPr>
        <w:t>必要性分析如下：</w:t>
      </w:r>
    </w:p>
    <w:p>
      <w:pPr>
        <w:spacing w:line="360" w:lineRule="auto"/>
        <w:ind w:firstLine="480" w:firstLineChars="200"/>
        <w:rPr>
          <w:bCs/>
          <w:color w:val="000000"/>
          <w:sz w:val="24"/>
        </w:rPr>
      </w:pPr>
      <w:r>
        <w:rPr>
          <w:bCs/>
          <w:color w:val="000000"/>
          <w:sz w:val="24"/>
        </w:rPr>
        <w:t>汽车及汽车零部件制造业是</w:t>
      </w:r>
      <w:r>
        <w:rPr>
          <w:rFonts w:hint="eastAsia"/>
          <w:bCs/>
          <w:color w:val="000000"/>
          <w:sz w:val="24"/>
        </w:rPr>
        <w:t>湖北</w:t>
      </w:r>
      <w:r>
        <w:rPr>
          <w:bCs/>
          <w:color w:val="000000"/>
          <w:sz w:val="24"/>
        </w:rPr>
        <w:t>第一大支柱产业，武汉作为中国中部的中心</w:t>
      </w:r>
      <w:r>
        <w:rPr>
          <w:rFonts w:hint="eastAsia"/>
          <w:bCs/>
          <w:color w:val="000000"/>
          <w:sz w:val="24"/>
        </w:rPr>
        <w:t>，又有“中国车都”之称，对于汽车零部件产品质量引起社会各界高度重视。为了提高产品质量安全和提升检测能力，更好地满足市场经济快速发展的需求，特制定本标准。</w:t>
      </w:r>
    </w:p>
    <w:p>
      <w:pPr>
        <w:pStyle w:val="14"/>
        <w:spacing w:line="360" w:lineRule="auto"/>
        <w:ind w:left="450" w:firstLine="0" w:firstLineChars="0"/>
        <w:rPr>
          <w:rFonts w:ascii="Verdana" w:hAnsi="Verdana" w:eastAsia="宋体" w:cs="宋体"/>
          <w:color w:val="000000"/>
          <w:kern w:val="0"/>
          <w:sz w:val="24"/>
          <w:szCs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与国内相关标准的关系</w:t>
      </w:r>
    </w:p>
    <w:p>
      <w:pPr>
        <w:pStyle w:val="14"/>
        <w:spacing w:line="360" w:lineRule="auto"/>
        <w:ind w:firstLine="480"/>
        <w:rPr>
          <w:rFonts w:ascii="Times New Roman" w:hAnsi="Times New Roman"/>
          <w:sz w:val="24"/>
          <w:szCs w:val="24"/>
        </w:rPr>
      </w:pPr>
      <w:r>
        <w:rPr>
          <w:rFonts w:hint="eastAsia" w:ascii="Times New Roman" w:hAnsi="Times New Roman"/>
          <w:sz w:val="24"/>
          <w:szCs w:val="24"/>
        </w:rPr>
        <w:t>本标准的制定是为填补国内相关专业领域标准的空白，为了提高产品质量安全和提升检测能力，更好地满足市场经济快速发展的需求，为汽车行业零部件产品提供新的方法标准。</w:t>
      </w:r>
    </w:p>
    <w:p>
      <w:pPr>
        <w:pStyle w:val="14"/>
        <w:spacing w:line="360" w:lineRule="auto"/>
        <w:ind w:left="450" w:firstLine="0" w:firstLineChars="0"/>
        <w:rPr>
          <w:rFonts w:ascii="Times New Roman" w:hAnsi="Times New Roman"/>
          <w:sz w:val="24"/>
          <w:szCs w:val="24"/>
        </w:rPr>
      </w:pPr>
    </w:p>
    <w:p>
      <w:pPr>
        <w:pStyle w:val="14"/>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其他（专利）</w:t>
      </w:r>
    </w:p>
    <w:p>
      <w:pPr>
        <w:pStyle w:val="14"/>
        <w:spacing w:line="360" w:lineRule="auto"/>
        <w:ind w:firstLine="480"/>
        <w:rPr>
          <w:rFonts w:ascii="Times New Roman" w:hAnsi="Times New Roman"/>
          <w:sz w:val="24"/>
          <w:szCs w:val="24"/>
        </w:rPr>
      </w:pPr>
      <w:r>
        <w:rPr>
          <w:rFonts w:hint="eastAsia"/>
          <w:bCs/>
          <w:sz w:val="24"/>
          <w:szCs w:val="24"/>
        </w:rPr>
        <w:t>1、由中国检验认证集团湖北有限公司和湖北中检检测有限公司申请实用新型专利《</w:t>
      </w:r>
      <w:r>
        <w:rPr>
          <w:rFonts w:hint="eastAsia" w:ascii="Times New Roman" w:hAnsi="Times New Roman"/>
          <w:sz w:val="24"/>
          <w:szCs w:val="24"/>
        </w:rPr>
        <w:t>用于汽车油管与非金属管路标准接头的高温拉拔试验夹具</w:t>
      </w:r>
      <w:r>
        <w:rPr>
          <w:rFonts w:hint="eastAsia"/>
          <w:bCs/>
          <w:sz w:val="24"/>
          <w:szCs w:val="24"/>
        </w:rPr>
        <w:t>》1项，</w:t>
      </w:r>
      <w:r>
        <w:rPr>
          <w:rFonts w:hint="eastAsia" w:ascii="Times New Roman" w:hAnsi="Times New Roman"/>
          <w:sz w:val="24"/>
          <w:szCs w:val="24"/>
        </w:rPr>
        <w:t>专利申请号ZL 202021375947.8。授权日期：2021年3月16日，专利发明人：李智（本标准起草人）。</w:t>
      </w:r>
    </w:p>
    <w:p>
      <w:pPr>
        <w:pStyle w:val="14"/>
        <w:spacing w:line="360" w:lineRule="auto"/>
        <w:ind w:firstLine="480"/>
        <w:rPr>
          <w:rFonts w:ascii="Times New Roman" w:hAnsi="Times New Roman"/>
          <w:sz w:val="24"/>
          <w:szCs w:val="24"/>
        </w:rPr>
      </w:pPr>
    </w:p>
    <w:p>
      <w:pPr>
        <w:pStyle w:val="14"/>
        <w:spacing w:line="360" w:lineRule="auto"/>
        <w:ind w:firstLine="480"/>
        <w:rPr>
          <w:rFonts w:ascii="Times New Roman" w:hAnsi="Times New Roman"/>
          <w:sz w:val="24"/>
          <w:szCs w:val="24"/>
        </w:rPr>
      </w:pPr>
    </w:p>
    <w:sectPr>
      <w:footerReference r:id="rId3" w:type="default"/>
      <w:pgSz w:w="11906" w:h="16838"/>
      <w:pgMar w:top="1440" w:right="1800" w:bottom="1440" w:left="1800" w:header="851" w:footer="66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Courier New">
    <w:panose1 w:val="02070309020205020404"/>
    <w:charset w:val="00"/>
    <w:family w:val="modern"/>
    <w:pitch w:val="default"/>
    <w:sig w:usb0="E0002AFF" w:usb1="C0007843" w:usb2="00000009" w:usb3="00000000" w:csb0="400001FF" w:csb1="FFFF0000"/>
  </w:font>
  <w:font w:name="方正黑体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8152"/>
      <w:docPartObj>
        <w:docPartGallery w:val="AutoText"/>
      </w:docPartObj>
    </w:sdtPr>
    <w:sdtContent>
      <w:sdt>
        <w:sdtPr>
          <w:id w:val="98381352"/>
          <w:docPartObj>
            <w:docPartGallery w:val="AutoText"/>
          </w:docPartObj>
        </w:sdtPr>
        <w:sdtContent>
          <w:p>
            <w:pPr>
              <w:pStyle w:val="4"/>
              <w:jc w:val="center"/>
            </w:pPr>
            <w:r>
              <w:rPr>
                <w:sz w:val="28"/>
                <w:szCs w:val="28"/>
                <w:lang w:val="zh-CN"/>
              </w:rPr>
              <w:t xml:space="preserve"> </w:t>
            </w:r>
            <w:r>
              <w:rPr>
                <w:b/>
                <w:sz w:val="28"/>
                <w:szCs w:val="28"/>
              </w:rPr>
              <w:fldChar w:fldCharType="begin"/>
            </w:r>
            <w:r>
              <w:rPr>
                <w:b/>
                <w:sz w:val="28"/>
                <w:szCs w:val="28"/>
              </w:rPr>
              <w:instrText xml:space="preserve">PAGE</w:instrText>
            </w:r>
            <w:r>
              <w:rPr>
                <w:b/>
                <w:sz w:val="28"/>
                <w:szCs w:val="28"/>
              </w:rPr>
              <w:fldChar w:fldCharType="separate"/>
            </w:r>
            <w:r>
              <w:rPr>
                <w:b/>
                <w:sz w:val="28"/>
                <w:szCs w:val="28"/>
              </w:rPr>
              <w:t>10</w:t>
            </w:r>
            <w:r>
              <w:rPr>
                <w:b/>
                <w:sz w:val="28"/>
                <w:szCs w:val="28"/>
              </w:rPr>
              <w:fldChar w:fldCharType="end"/>
            </w:r>
            <w:r>
              <w:rPr>
                <w:sz w:val="28"/>
                <w:szCs w:val="28"/>
                <w:lang w:val="zh-CN"/>
              </w:rPr>
              <w:t xml:space="preserve"> / </w:t>
            </w:r>
            <w:r>
              <w:rPr>
                <w:b/>
                <w:sz w:val="28"/>
                <w:szCs w:val="28"/>
              </w:rPr>
              <w:fldChar w:fldCharType="begin"/>
            </w:r>
            <w:r>
              <w:rPr>
                <w:b/>
                <w:sz w:val="28"/>
                <w:szCs w:val="28"/>
              </w:rPr>
              <w:instrText xml:space="preserve">NUMPAGES</w:instrText>
            </w:r>
            <w:r>
              <w:rPr>
                <w:b/>
                <w:sz w:val="28"/>
                <w:szCs w:val="28"/>
              </w:rPr>
              <w:fldChar w:fldCharType="separate"/>
            </w:r>
            <w:r>
              <w:rPr>
                <w:b/>
                <w:sz w:val="28"/>
                <w:szCs w:val="28"/>
              </w:rPr>
              <w:t>11</w:t>
            </w:r>
            <w:r>
              <w:rPr>
                <w:b/>
                <w:sz w:val="28"/>
                <w:szCs w:val="28"/>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CF7C17"/>
    <w:multiLevelType w:val="multilevel"/>
    <w:tmpl w:val="18CF7C17"/>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567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6E31D0E"/>
    <w:multiLevelType w:val="multilevel"/>
    <w:tmpl w:val="26E31D0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6A00B2"/>
    <w:multiLevelType w:val="multilevel"/>
    <w:tmpl w:val="436A00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64F66B0"/>
    <w:multiLevelType w:val="multilevel"/>
    <w:tmpl w:val="564F66B0"/>
    <w:lvl w:ilvl="0" w:tentative="0">
      <w:start w:val="1"/>
      <w:numFmt w:val="decimal"/>
      <w:lvlText w:val="%1、"/>
      <w:lvlJc w:val="left"/>
      <w:pPr>
        <w:ind w:left="1713" w:hanging="720"/>
      </w:pPr>
      <w:rPr>
        <w:rFonts w:ascii="Verdana" w:hAnsi="Verdana"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g0ZWEyZjk4NmQ2YzhiNDAyZDNiMTI0ODM1ZWZmNDEifQ=="/>
  </w:docVars>
  <w:rsids>
    <w:rsidRoot w:val="00E841FF"/>
    <w:rsid w:val="00023AB9"/>
    <w:rsid w:val="00032D3C"/>
    <w:rsid w:val="00033685"/>
    <w:rsid w:val="00043D0C"/>
    <w:rsid w:val="00054F44"/>
    <w:rsid w:val="00056BC3"/>
    <w:rsid w:val="00071208"/>
    <w:rsid w:val="00071562"/>
    <w:rsid w:val="0007477D"/>
    <w:rsid w:val="000907B1"/>
    <w:rsid w:val="00096F8D"/>
    <w:rsid w:val="0009718D"/>
    <w:rsid w:val="000A1940"/>
    <w:rsid w:val="000A4034"/>
    <w:rsid w:val="000B4B14"/>
    <w:rsid w:val="000C2584"/>
    <w:rsid w:val="000D3D24"/>
    <w:rsid w:val="000E009A"/>
    <w:rsid w:val="000F552A"/>
    <w:rsid w:val="000F6FEF"/>
    <w:rsid w:val="00114DDC"/>
    <w:rsid w:val="00115249"/>
    <w:rsid w:val="00123B4F"/>
    <w:rsid w:val="00130DEA"/>
    <w:rsid w:val="00130DEC"/>
    <w:rsid w:val="00140BE9"/>
    <w:rsid w:val="001421C9"/>
    <w:rsid w:val="00147A46"/>
    <w:rsid w:val="0016056B"/>
    <w:rsid w:val="00162DC6"/>
    <w:rsid w:val="00183768"/>
    <w:rsid w:val="0018598F"/>
    <w:rsid w:val="001A4B2D"/>
    <w:rsid w:val="001C152D"/>
    <w:rsid w:val="001C45C4"/>
    <w:rsid w:val="001C691E"/>
    <w:rsid w:val="001D4027"/>
    <w:rsid w:val="001D5CE8"/>
    <w:rsid w:val="001E0CB9"/>
    <w:rsid w:val="001E6470"/>
    <w:rsid w:val="001F0C3D"/>
    <w:rsid w:val="001F125A"/>
    <w:rsid w:val="001F2CFB"/>
    <w:rsid w:val="001F6FF5"/>
    <w:rsid w:val="00200D52"/>
    <w:rsid w:val="0020707D"/>
    <w:rsid w:val="002239FC"/>
    <w:rsid w:val="00244D62"/>
    <w:rsid w:val="0024606B"/>
    <w:rsid w:val="00264AB5"/>
    <w:rsid w:val="00272E6B"/>
    <w:rsid w:val="00273723"/>
    <w:rsid w:val="0027696D"/>
    <w:rsid w:val="002846BC"/>
    <w:rsid w:val="002865A2"/>
    <w:rsid w:val="002B1324"/>
    <w:rsid w:val="002C1F2E"/>
    <w:rsid w:val="003005CB"/>
    <w:rsid w:val="00312B90"/>
    <w:rsid w:val="0031586D"/>
    <w:rsid w:val="003162BB"/>
    <w:rsid w:val="00327AA6"/>
    <w:rsid w:val="00327F0D"/>
    <w:rsid w:val="00330BAC"/>
    <w:rsid w:val="003414B6"/>
    <w:rsid w:val="003466A8"/>
    <w:rsid w:val="00347428"/>
    <w:rsid w:val="00362883"/>
    <w:rsid w:val="0036586C"/>
    <w:rsid w:val="0038093E"/>
    <w:rsid w:val="003832FB"/>
    <w:rsid w:val="003850CC"/>
    <w:rsid w:val="003877A1"/>
    <w:rsid w:val="00391D9D"/>
    <w:rsid w:val="00393823"/>
    <w:rsid w:val="003A5FA1"/>
    <w:rsid w:val="003B5860"/>
    <w:rsid w:val="003C063E"/>
    <w:rsid w:val="003C7CD7"/>
    <w:rsid w:val="003D0482"/>
    <w:rsid w:val="003D0DEE"/>
    <w:rsid w:val="003D6C58"/>
    <w:rsid w:val="003E176E"/>
    <w:rsid w:val="003F3C06"/>
    <w:rsid w:val="004149E4"/>
    <w:rsid w:val="00415558"/>
    <w:rsid w:val="0042651F"/>
    <w:rsid w:val="00456850"/>
    <w:rsid w:val="00465469"/>
    <w:rsid w:val="00465DDB"/>
    <w:rsid w:val="00467932"/>
    <w:rsid w:val="00471859"/>
    <w:rsid w:val="00480718"/>
    <w:rsid w:val="004812E2"/>
    <w:rsid w:val="00485C5C"/>
    <w:rsid w:val="00487E78"/>
    <w:rsid w:val="004A3D2C"/>
    <w:rsid w:val="004B5B28"/>
    <w:rsid w:val="004C46E7"/>
    <w:rsid w:val="004C64A6"/>
    <w:rsid w:val="004D6541"/>
    <w:rsid w:val="004E0277"/>
    <w:rsid w:val="004E3FD3"/>
    <w:rsid w:val="004E5654"/>
    <w:rsid w:val="0050386D"/>
    <w:rsid w:val="005246B7"/>
    <w:rsid w:val="00541CB4"/>
    <w:rsid w:val="005563D0"/>
    <w:rsid w:val="00561FEF"/>
    <w:rsid w:val="005679D4"/>
    <w:rsid w:val="00573119"/>
    <w:rsid w:val="00591158"/>
    <w:rsid w:val="00595FB0"/>
    <w:rsid w:val="005960B9"/>
    <w:rsid w:val="005A475D"/>
    <w:rsid w:val="005B1D2F"/>
    <w:rsid w:val="005C6D10"/>
    <w:rsid w:val="005D723A"/>
    <w:rsid w:val="005E7116"/>
    <w:rsid w:val="005F7A74"/>
    <w:rsid w:val="0061394A"/>
    <w:rsid w:val="00613F87"/>
    <w:rsid w:val="00641E24"/>
    <w:rsid w:val="00653A79"/>
    <w:rsid w:val="006572E6"/>
    <w:rsid w:val="00664D64"/>
    <w:rsid w:val="00665B93"/>
    <w:rsid w:val="00674326"/>
    <w:rsid w:val="00676572"/>
    <w:rsid w:val="006766CE"/>
    <w:rsid w:val="006A460B"/>
    <w:rsid w:val="006A604E"/>
    <w:rsid w:val="006A60F0"/>
    <w:rsid w:val="006A7673"/>
    <w:rsid w:val="006B5026"/>
    <w:rsid w:val="006D4814"/>
    <w:rsid w:val="006D5AA0"/>
    <w:rsid w:val="006D7A55"/>
    <w:rsid w:val="006E19A8"/>
    <w:rsid w:val="006E3A56"/>
    <w:rsid w:val="00710EC5"/>
    <w:rsid w:val="007333F6"/>
    <w:rsid w:val="007362F3"/>
    <w:rsid w:val="007378DE"/>
    <w:rsid w:val="00742F2B"/>
    <w:rsid w:val="007464C6"/>
    <w:rsid w:val="00747A74"/>
    <w:rsid w:val="007504EC"/>
    <w:rsid w:val="007536F4"/>
    <w:rsid w:val="00755BA8"/>
    <w:rsid w:val="007600C3"/>
    <w:rsid w:val="007611FF"/>
    <w:rsid w:val="00771F5B"/>
    <w:rsid w:val="00773284"/>
    <w:rsid w:val="00782197"/>
    <w:rsid w:val="00782A18"/>
    <w:rsid w:val="00790EBA"/>
    <w:rsid w:val="00793D84"/>
    <w:rsid w:val="007A5B4D"/>
    <w:rsid w:val="007B5AC7"/>
    <w:rsid w:val="007C2D51"/>
    <w:rsid w:val="007C6B72"/>
    <w:rsid w:val="007C76D9"/>
    <w:rsid w:val="007D2A81"/>
    <w:rsid w:val="007E2B97"/>
    <w:rsid w:val="007F436D"/>
    <w:rsid w:val="007F61F8"/>
    <w:rsid w:val="00806D73"/>
    <w:rsid w:val="0081625A"/>
    <w:rsid w:val="00817A73"/>
    <w:rsid w:val="008234E6"/>
    <w:rsid w:val="00824316"/>
    <w:rsid w:val="008336AA"/>
    <w:rsid w:val="00843003"/>
    <w:rsid w:val="008444CD"/>
    <w:rsid w:val="00856DF9"/>
    <w:rsid w:val="00866E9D"/>
    <w:rsid w:val="00870518"/>
    <w:rsid w:val="008850A0"/>
    <w:rsid w:val="008B0617"/>
    <w:rsid w:val="008B40EB"/>
    <w:rsid w:val="008D0E38"/>
    <w:rsid w:val="008D2EEB"/>
    <w:rsid w:val="008F224C"/>
    <w:rsid w:val="00907F3C"/>
    <w:rsid w:val="0091051E"/>
    <w:rsid w:val="009178B1"/>
    <w:rsid w:val="009219AA"/>
    <w:rsid w:val="0093686C"/>
    <w:rsid w:val="0094129A"/>
    <w:rsid w:val="0095129B"/>
    <w:rsid w:val="00951BB6"/>
    <w:rsid w:val="00955C5D"/>
    <w:rsid w:val="0095704B"/>
    <w:rsid w:val="00972435"/>
    <w:rsid w:val="00975D02"/>
    <w:rsid w:val="009837F1"/>
    <w:rsid w:val="00987613"/>
    <w:rsid w:val="009A165B"/>
    <w:rsid w:val="009A3D3A"/>
    <w:rsid w:val="009A7008"/>
    <w:rsid w:val="009D5801"/>
    <w:rsid w:val="009D6974"/>
    <w:rsid w:val="009D6B58"/>
    <w:rsid w:val="009E2D10"/>
    <w:rsid w:val="00A20CEA"/>
    <w:rsid w:val="00A2551D"/>
    <w:rsid w:val="00A25D04"/>
    <w:rsid w:val="00A26D52"/>
    <w:rsid w:val="00A2741E"/>
    <w:rsid w:val="00A34AE2"/>
    <w:rsid w:val="00A55E80"/>
    <w:rsid w:val="00A60BD1"/>
    <w:rsid w:val="00A646EA"/>
    <w:rsid w:val="00A649F7"/>
    <w:rsid w:val="00AC59CC"/>
    <w:rsid w:val="00AD35EA"/>
    <w:rsid w:val="00AD75D1"/>
    <w:rsid w:val="00AE0731"/>
    <w:rsid w:val="00B13F68"/>
    <w:rsid w:val="00B16A22"/>
    <w:rsid w:val="00B238E1"/>
    <w:rsid w:val="00B25D9B"/>
    <w:rsid w:val="00B355D6"/>
    <w:rsid w:val="00B3675A"/>
    <w:rsid w:val="00B45E7B"/>
    <w:rsid w:val="00B5412B"/>
    <w:rsid w:val="00B62257"/>
    <w:rsid w:val="00B75A21"/>
    <w:rsid w:val="00B852A1"/>
    <w:rsid w:val="00B87219"/>
    <w:rsid w:val="00B90635"/>
    <w:rsid w:val="00B965E8"/>
    <w:rsid w:val="00BA61E0"/>
    <w:rsid w:val="00BC0132"/>
    <w:rsid w:val="00BC783B"/>
    <w:rsid w:val="00BE5B12"/>
    <w:rsid w:val="00BF0CEC"/>
    <w:rsid w:val="00BF546A"/>
    <w:rsid w:val="00C1294B"/>
    <w:rsid w:val="00C14C76"/>
    <w:rsid w:val="00C226A8"/>
    <w:rsid w:val="00C30ADA"/>
    <w:rsid w:val="00C31E9B"/>
    <w:rsid w:val="00C35344"/>
    <w:rsid w:val="00C554AC"/>
    <w:rsid w:val="00C61170"/>
    <w:rsid w:val="00C81AB8"/>
    <w:rsid w:val="00C82250"/>
    <w:rsid w:val="00C92486"/>
    <w:rsid w:val="00C936D3"/>
    <w:rsid w:val="00CA02EA"/>
    <w:rsid w:val="00CA099C"/>
    <w:rsid w:val="00CA471C"/>
    <w:rsid w:val="00CA552C"/>
    <w:rsid w:val="00CB0390"/>
    <w:rsid w:val="00CB558B"/>
    <w:rsid w:val="00CD40C2"/>
    <w:rsid w:val="00CE072B"/>
    <w:rsid w:val="00D03101"/>
    <w:rsid w:val="00D32812"/>
    <w:rsid w:val="00D329A2"/>
    <w:rsid w:val="00D33A31"/>
    <w:rsid w:val="00D53998"/>
    <w:rsid w:val="00D5758F"/>
    <w:rsid w:val="00D62A36"/>
    <w:rsid w:val="00D70F9F"/>
    <w:rsid w:val="00D757ED"/>
    <w:rsid w:val="00D81CEF"/>
    <w:rsid w:val="00D87AC6"/>
    <w:rsid w:val="00D9133B"/>
    <w:rsid w:val="00DA63E2"/>
    <w:rsid w:val="00DB2A39"/>
    <w:rsid w:val="00DB55F9"/>
    <w:rsid w:val="00DC0901"/>
    <w:rsid w:val="00DE3C1E"/>
    <w:rsid w:val="00DE6808"/>
    <w:rsid w:val="00E04DC1"/>
    <w:rsid w:val="00E07F6D"/>
    <w:rsid w:val="00E1148C"/>
    <w:rsid w:val="00E13490"/>
    <w:rsid w:val="00E21334"/>
    <w:rsid w:val="00E30039"/>
    <w:rsid w:val="00E35E53"/>
    <w:rsid w:val="00E4449B"/>
    <w:rsid w:val="00E52691"/>
    <w:rsid w:val="00E71697"/>
    <w:rsid w:val="00E716FA"/>
    <w:rsid w:val="00E841FF"/>
    <w:rsid w:val="00E8532C"/>
    <w:rsid w:val="00E918B9"/>
    <w:rsid w:val="00E942DF"/>
    <w:rsid w:val="00E944BE"/>
    <w:rsid w:val="00EA2796"/>
    <w:rsid w:val="00EA6EEF"/>
    <w:rsid w:val="00EC6649"/>
    <w:rsid w:val="00EF0FDA"/>
    <w:rsid w:val="00EF31D3"/>
    <w:rsid w:val="00F00F7A"/>
    <w:rsid w:val="00F012CE"/>
    <w:rsid w:val="00F070B9"/>
    <w:rsid w:val="00F2009A"/>
    <w:rsid w:val="00F23C2E"/>
    <w:rsid w:val="00F24061"/>
    <w:rsid w:val="00F30CA8"/>
    <w:rsid w:val="00F42275"/>
    <w:rsid w:val="00F42B6E"/>
    <w:rsid w:val="00F63EE2"/>
    <w:rsid w:val="00F63FA3"/>
    <w:rsid w:val="00F73116"/>
    <w:rsid w:val="00F73658"/>
    <w:rsid w:val="00F9438C"/>
    <w:rsid w:val="00FA189F"/>
    <w:rsid w:val="00FA3529"/>
    <w:rsid w:val="00FA40B9"/>
    <w:rsid w:val="00FB2375"/>
    <w:rsid w:val="00FC035E"/>
    <w:rsid w:val="00FC0FF9"/>
    <w:rsid w:val="00FC1FF0"/>
    <w:rsid w:val="00FC74B5"/>
    <w:rsid w:val="00FE0BC4"/>
    <w:rsid w:val="05B83994"/>
    <w:rsid w:val="05D656EE"/>
    <w:rsid w:val="05FA3812"/>
    <w:rsid w:val="0AE14A88"/>
    <w:rsid w:val="0DB07A3B"/>
    <w:rsid w:val="12AD0F24"/>
    <w:rsid w:val="167F0452"/>
    <w:rsid w:val="19D66A55"/>
    <w:rsid w:val="1C3E42A8"/>
    <w:rsid w:val="1F224F05"/>
    <w:rsid w:val="21AB05E7"/>
    <w:rsid w:val="21D03DEF"/>
    <w:rsid w:val="222F391A"/>
    <w:rsid w:val="22F34E18"/>
    <w:rsid w:val="250343C7"/>
    <w:rsid w:val="25E609D5"/>
    <w:rsid w:val="29003AAA"/>
    <w:rsid w:val="2966274F"/>
    <w:rsid w:val="297A1A86"/>
    <w:rsid w:val="29FA6D0E"/>
    <w:rsid w:val="2B035402"/>
    <w:rsid w:val="2B09478F"/>
    <w:rsid w:val="2E0C7B07"/>
    <w:rsid w:val="308162EA"/>
    <w:rsid w:val="313D65C9"/>
    <w:rsid w:val="325A51EB"/>
    <w:rsid w:val="326A2F77"/>
    <w:rsid w:val="35B3697C"/>
    <w:rsid w:val="378C6358"/>
    <w:rsid w:val="39261CAB"/>
    <w:rsid w:val="396E2FCE"/>
    <w:rsid w:val="39D94EAB"/>
    <w:rsid w:val="40171E90"/>
    <w:rsid w:val="4262689C"/>
    <w:rsid w:val="436D206B"/>
    <w:rsid w:val="43F53FBC"/>
    <w:rsid w:val="48C0355E"/>
    <w:rsid w:val="4B7A2CE6"/>
    <w:rsid w:val="4B99672D"/>
    <w:rsid w:val="4C7B1C4F"/>
    <w:rsid w:val="4DDF1FCF"/>
    <w:rsid w:val="50CE6994"/>
    <w:rsid w:val="53720004"/>
    <w:rsid w:val="53BE5B36"/>
    <w:rsid w:val="544E7A62"/>
    <w:rsid w:val="57351AFF"/>
    <w:rsid w:val="5DD2619F"/>
    <w:rsid w:val="5DE200D6"/>
    <w:rsid w:val="5E6D0205"/>
    <w:rsid w:val="5F5F2038"/>
    <w:rsid w:val="61F213CB"/>
    <w:rsid w:val="669C00FA"/>
    <w:rsid w:val="6A160BA1"/>
    <w:rsid w:val="6BEE2CD4"/>
    <w:rsid w:val="6CEE3437"/>
    <w:rsid w:val="6CEF5600"/>
    <w:rsid w:val="79F95C22"/>
    <w:rsid w:val="7A1A3523"/>
    <w:rsid w:val="7BCB4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pPr>
      <w:spacing w:before="152" w:after="160"/>
    </w:pPr>
    <w:rPr>
      <w:rFonts w:ascii="Arial" w:hAnsi="Arial" w:eastAsia="黑体" w:cs="Arial"/>
      <w:sz w:val="20"/>
      <w:szCs w:val="20"/>
    </w:rPr>
  </w:style>
  <w:style w:type="paragraph" w:styleId="3">
    <w:name w:val="Balloon Text"/>
    <w:basedOn w:val="1"/>
    <w:link w:val="23"/>
    <w:qFormat/>
    <w:uiPriority w:val="0"/>
    <w:rPr>
      <w:rFonts w:ascii="Times New Roman" w:hAnsi="Times New Roman" w:eastAsia="宋体" w:cs="Times New Roman"/>
      <w:sz w:val="18"/>
      <w:szCs w:val="18"/>
    </w:r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left" w:pos="630"/>
        <w:tab w:val="right" w:leader="dot" w:pos="8341"/>
      </w:tabs>
      <w:jc w:val="center"/>
    </w:pPr>
    <w:rPr>
      <w:rFonts w:ascii="Times New Roman" w:hAnsi="Times New Roman" w:eastAsia="宋体" w:cs="Times New Roman"/>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TML Sample"/>
    <w:qFormat/>
    <w:uiPriority w:val="0"/>
    <w:rPr>
      <w:rFonts w:ascii="Courier New" w:hAnsi="Courier New"/>
    </w:rPr>
  </w:style>
  <w:style w:type="character" w:customStyle="1" w:styleId="12">
    <w:name w:val="标题 Char"/>
    <w:basedOn w:val="10"/>
    <w:link w:val="7"/>
    <w:qFormat/>
    <w:uiPriority w:val="10"/>
    <w:rPr>
      <w:rFonts w:eastAsia="宋体" w:asciiTheme="majorHAnsi" w:hAnsiTheme="majorHAnsi" w:cstheme="majorBidi"/>
      <w:b/>
      <w:bCs/>
      <w:sz w:val="32"/>
      <w:szCs w:val="32"/>
    </w:rPr>
  </w:style>
  <w:style w:type="paragraph" w:customStyle="1" w:styleId="13">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14">
    <w:name w:val="列出段落1"/>
    <w:basedOn w:val="1"/>
    <w:qFormat/>
    <w:uiPriority w:val="34"/>
    <w:pPr>
      <w:ind w:firstLine="420" w:firstLineChars="200"/>
    </w:pPr>
  </w:style>
  <w:style w:type="paragraph" w:customStyle="1" w:styleId="15">
    <w:name w:val="段"/>
    <w:link w:val="1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6">
    <w:name w:val="段 Char"/>
    <w:basedOn w:val="10"/>
    <w:link w:val="15"/>
    <w:qFormat/>
    <w:uiPriority w:val="0"/>
    <w:rPr>
      <w:rFonts w:ascii="宋体" w:hAnsi="Times New Roman" w:eastAsia="宋体" w:cs="Times New Roman"/>
      <w:kern w:val="0"/>
      <w:szCs w:val="20"/>
    </w:rPr>
  </w:style>
  <w:style w:type="character" w:customStyle="1" w:styleId="17">
    <w:name w:val="页眉 Char"/>
    <w:basedOn w:val="10"/>
    <w:link w:val="5"/>
    <w:semiHidden/>
    <w:qFormat/>
    <w:uiPriority w:val="99"/>
    <w:rPr>
      <w:sz w:val="18"/>
      <w:szCs w:val="18"/>
    </w:rPr>
  </w:style>
  <w:style w:type="character" w:customStyle="1" w:styleId="18">
    <w:name w:val="页脚 Char"/>
    <w:basedOn w:val="10"/>
    <w:link w:val="4"/>
    <w:qFormat/>
    <w:uiPriority w:val="99"/>
    <w:rPr>
      <w:sz w:val="18"/>
      <w:szCs w:val="18"/>
    </w:rPr>
  </w:style>
  <w:style w:type="paragraph" w:customStyle="1" w:styleId="19">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styleId="20">
    <w:name w:val="List Paragraph"/>
    <w:basedOn w:val="1"/>
    <w:unhideWhenUsed/>
    <w:qFormat/>
    <w:uiPriority w:val="34"/>
    <w:pPr>
      <w:ind w:firstLine="420" w:firstLineChars="200"/>
    </w:pPr>
  </w:style>
  <w:style w:type="paragraph" w:customStyle="1" w:styleId="21">
    <w:name w:val="Table Paragraph"/>
    <w:basedOn w:val="1"/>
    <w:qFormat/>
    <w:uiPriority w:val="1"/>
    <w:pPr>
      <w:autoSpaceDE w:val="0"/>
      <w:autoSpaceDN w:val="0"/>
      <w:jc w:val="left"/>
    </w:pPr>
    <w:rPr>
      <w:rFonts w:ascii="Arial Unicode MS" w:hAnsi="Arial Unicode MS" w:eastAsia="Arial Unicode MS" w:cs="Arial Unicode MS"/>
      <w:kern w:val="0"/>
      <w:sz w:val="22"/>
      <w:lang w:val="zh-CN" w:bidi="zh-CN"/>
    </w:rPr>
  </w:style>
  <w:style w:type="character" w:customStyle="1" w:styleId="22">
    <w:name w:val="段 Char Char"/>
    <w:qFormat/>
    <w:uiPriority w:val="0"/>
    <w:rPr>
      <w:rFonts w:ascii="宋体"/>
      <w:sz w:val="21"/>
      <w:lang w:val="en-US" w:eastAsia="zh-CN" w:bidi="ar-SA"/>
    </w:rPr>
  </w:style>
  <w:style w:type="character" w:customStyle="1" w:styleId="23">
    <w:name w:val="批注框文本 Char"/>
    <w:basedOn w:val="10"/>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B29BA-BCB0-485B-A765-441871F6D5A1}">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4523</Words>
  <Characters>4940</Characters>
  <Lines>37</Lines>
  <Paragraphs>10</Paragraphs>
  <TotalTime>1213</TotalTime>
  <ScaleCrop>false</ScaleCrop>
  <LinksUpToDate>false</LinksUpToDate>
  <CharactersWithSpaces>4962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2020-10-26T05:53:00Z</dcterms:created>
  <dc:creator>renyun</dc:creator>
  <cp:lastModifiedBy>天平联盟</cp:lastModifiedBy>
  <cp:lastPrinted>2020-03-31T03:09:00Z</cp:lastPrinted>
  <dcterms:modified xsi:type="dcterms:W3CDTF">2023-07-04T04:32:06Z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CAC5A59CA6404D60BF6BAEC3F053B231_12</vt:lpwstr>
  </property>
</Properties>
</file>